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44AFFB12" w:rsidR="004E17BB" w:rsidRPr="00F02954" w:rsidRDefault="00DD6C04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DD6C04">
        <w:rPr>
          <w:rFonts w:ascii="Arial" w:hAnsi="Arial" w:cs="Arial"/>
          <w:sz w:val="20"/>
          <w:szCs w:val="20"/>
        </w:rPr>
        <w:t>2021 VAC 150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6B6DF68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685A00">
        <w:rPr>
          <w:rFonts w:ascii="Arial" w:hAnsi="Arial" w:cs="Arial"/>
          <w:b/>
          <w:bCs/>
        </w:rPr>
        <w:t xml:space="preserve"> </w:t>
      </w:r>
      <w:r w:rsidR="008F231B">
        <w:rPr>
          <w:rFonts w:ascii="Arial" w:hAnsi="Arial" w:cs="Arial"/>
          <w:b/>
          <w:bCs/>
        </w:rPr>
        <w:t>Refuse Collection</w:t>
      </w:r>
      <w:r w:rsidR="00685A00">
        <w:rPr>
          <w:rFonts w:ascii="Arial" w:hAnsi="Arial" w:cs="Arial"/>
          <w:b/>
          <w:bCs/>
        </w:rPr>
        <w:t xml:space="preserve"> - </w:t>
      </w:r>
      <w:r w:rsidR="00597755">
        <w:rPr>
          <w:rFonts w:ascii="Arial" w:hAnsi="Arial" w:cs="Arial"/>
          <w:b/>
          <w:bCs/>
        </w:rPr>
        <w:t>Team Leader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4512"/>
        <w:gridCol w:w="2074"/>
      </w:tblGrid>
      <w:tr w:rsidR="004300EF" w:rsidRPr="0065173B" w14:paraId="65D346DA" w14:textId="2B10761C" w:rsidTr="00045C9B">
        <w:trPr>
          <w:trHeight w:val="274"/>
        </w:trPr>
        <w:tc>
          <w:tcPr>
            <w:tcW w:w="7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045C9B" w:rsidRDefault="004300EF" w:rsidP="0065173B">
            <w:pPr>
              <w:jc w:val="center"/>
              <w:rPr>
                <w:rFonts w:ascii="Arial" w:hAnsi="Arial" w:cs="Arial"/>
              </w:rPr>
            </w:pPr>
            <w:r w:rsidRPr="00045C9B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045C9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5C9B"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406EAC" w:rsidRPr="003613A7" w14:paraId="476B857C" w14:textId="79A54E67" w:rsidTr="00045C9B">
        <w:trPr>
          <w:trHeight w:val="828"/>
        </w:trPr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6218E7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045C9B">
              <w:rPr>
                <w:rFonts w:ascii="Arial" w:hAnsi="Arial" w:cs="Arial"/>
                <w:b/>
                <w:bCs/>
              </w:rPr>
              <w:t xml:space="preserve">Skills, Knowledge, Ability (including ability </w:t>
            </w:r>
          </w:p>
          <w:p w14:paraId="53F3A76D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045C9B">
              <w:rPr>
                <w:rFonts w:ascii="Arial" w:hAnsi="Arial" w:cs="Arial"/>
                <w:b/>
                <w:bCs/>
              </w:rPr>
              <w:t>to develop knowledge,</w:t>
            </w:r>
          </w:p>
          <w:p w14:paraId="2B0E989E" w14:textId="16624B69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  <w:r w:rsidRPr="00045C9B">
              <w:rPr>
                <w:rFonts w:ascii="Arial" w:hAnsi="Arial" w:cs="Arial"/>
                <w:b/>
                <w:bCs/>
              </w:rPr>
              <w:t xml:space="preserve"> skill or experience)</w:t>
            </w:r>
          </w:p>
          <w:p w14:paraId="36A46103" w14:textId="77777777" w:rsidR="00406EAC" w:rsidRPr="00045C9B" w:rsidRDefault="00406EAC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45DA4E" w14:textId="77777777" w:rsidR="00045C9B" w:rsidRDefault="00045C9B" w:rsidP="00A1684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406EAC" w:rsidRPr="00045C9B">
              <w:rPr>
                <w:rFonts w:ascii="Arial" w:hAnsi="Arial" w:cs="Arial"/>
                <w:color w:val="000000"/>
              </w:rPr>
              <w:t>ble to communicate effectively verbally in person or over the phone, and in writing to obtain information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B2A7A58" w14:textId="1CE7D793" w:rsidR="00406EAC" w:rsidRPr="00045C9B" w:rsidRDefault="00406EAC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FD9D3" w14:textId="299646F9" w:rsidR="00406EAC" w:rsidRPr="00045C9B" w:rsidRDefault="00406EAC" w:rsidP="00406EAC">
            <w:pPr>
              <w:jc w:val="center"/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Application form/Interview</w:t>
            </w:r>
          </w:p>
          <w:p w14:paraId="55BDB6C9" w14:textId="2C88F898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066C9AB4" w14:textId="77777777" w:rsidTr="00045C9B">
        <w:trPr>
          <w:trHeight w:val="828"/>
        </w:trPr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3884F8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D2C7C3" w14:textId="2F63440E" w:rsidR="00406EAC" w:rsidRPr="00045C9B" w:rsidRDefault="00045C9B" w:rsidP="00A77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406EAC" w:rsidRPr="00045C9B">
              <w:rPr>
                <w:rFonts w:ascii="Arial" w:hAnsi="Arial" w:cs="Arial"/>
                <w:color w:val="000000"/>
              </w:rPr>
              <w:t>ble to provide excellent customer service by being able to delight customers and deliver high quality tailored services to meet their needs and exceed expectations.</w:t>
            </w:r>
          </w:p>
          <w:p w14:paraId="7C520AF6" w14:textId="14844188" w:rsidR="00406EAC" w:rsidRPr="00045C9B" w:rsidRDefault="00406EAC" w:rsidP="00957B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7B7CB8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7A195A9E" w14:textId="77777777" w:rsidTr="00045C9B">
        <w:trPr>
          <w:trHeight w:val="828"/>
        </w:trPr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779C6E8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D08A78" w14:textId="6641876D" w:rsidR="00406EAC" w:rsidRPr="00045C9B" w:rsidRDefault="00406EAC" w:rsidP="00A778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Able to work effectively within a busy team environment, or independently.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5D15C7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1CA6557F" w14:textId="77777777" w:rsidTr="00045C9B">
        <w:trPr>
          <w:trHeight w:val="828"/>
        </w:trPr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30D9C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A9FF15" w14:textId="439582EA" w:rsidR="00406EAC" w:rsidRDefault="00406EA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Listen to others to assess requirements </w:t>
            </w:r>
            <w:r w:rsidR="00045C9B">
              <w:rPr>
                <w:rFonts w:ascii="Arial" w:hAnsi="Arial" w:cs="Arial"/>
                <w:color w:val="000000"/>
              </w:rPr>
              <w:t>t</w:t>
            </w:r>
            <w:r w:rsidRPr="00045C9B">
              <w:rPr>
                <w:rFonts w:ascii="Arial" w:hAnsi="Arial" w:cs="Arial"/>
                <w:color w:val="000000"/>
              </w:rPr>
              <w:t>o respond appropriately and efficiently.</w:t>
            </w:r>
          </w:p>
          <w:p w14:paraId="4DDE147B" w14:textId="63D482C7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C4816F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57CAB5F7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D3EDCD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56A910" w14:textId="47387A5C" w:rsidR="00406EAC" w:rsidRPr="00045C9B" w:rsidRDefault="00406EA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Able to work at a fast pace and cope well with a higher level of workload.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A0B19D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13D5847B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09C3E6C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3838CA" w14:textId="77777777" w:rsidR="00406EAC" w:rsidRDefault="00406EA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Able to adapt to changes in colleagues, settings and working environment.</w:t>
            </w:r>
          </w:p>
          <w:p w14:paraId="1513A747" w14:textId="59CC2F1C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0513CE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7B9E6588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08EE74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E84F468" w14:textId="77777777" w:rsidR="00406EAC" w:rsidRDefault="00406EA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Able to take a </w:t>
            </w:r>
            <w:r w:rsidR="00CD51B1" w:rsidRPr="00045C9B">
              <w:rPr>
                <w:rFonts w:ascii="Arial" w:hAnsi="Arial" w:cs="Arial"/>
                <w:color w:val="000000"/>
              </w:rPr>
              <w:t>balanced</w:t>
            </w:r>
            <w:r w:rsidRPr="00045C9B">
              <w:rPr>
                <w:rFonts w:ascii="Arial" w:hAnsi="Arial" w:cs="Arial"/>
                <w:color w:val="000000"/>
              </w:rPr>
              <w:t xml:space="preserve"> approach to both a varied </w:t>
            </w:r>
            <w:r w:rsidR="00045C9B">
              <w:rPr>
                <w:rFonts w:ascii="Arial" w:hAnsi="Arial" w:cs="Arial"/>
                <w:color w:val="000000"/>
              </w:rPr>
              <w:t>and</w:t>
            </w:r>
            <w:r w:rsidRPr="00045C9B">
              <w:rPr>
                <w:rFonts w:ascii="Arial" w:hAnsi="Arial" w:cs="Arial"/>
                <w:color w:val="000000"/>
              </w:rPr>
              <w:t xml:space="preserve"> repetitious workload</w:t>
            </w:r>
            <w:r w:rsidR="00045C9B">
              <w:rPr>
                <w:rFonts w:ascii="Arial" w:hAnsi="Arial" w:cs="Arial"/>
                <w:color w:val="000000"/>
              </w:rPr>
              <w:t>.</w:t>
            </w:r>
          </w:p>
          <w:p w14:paraId="68B0C156" w14:textId="62A5679E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FF60158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406EAC" w:rsidRPr="003613A7" w14:paraId="6335A41F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73C82A" w14:textId="77777777" w:rsidR="00406EAC" w:rsidRPr="00045C9B" w:rsidRDefault="00406EA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8AC6AC" w14:textId="77777777" w:rsidR="00406EAC" w:rsidRDefault="00406EA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Able to see tasks through to completion, ensuring they are completed on time or to deadlines and to a high degree of accuracy. </w:t>
            </w:r>
          </w:p>
          <w:p w14:paraId="4CD2C681" w14:textId="4DA13C15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D161522" w14:textId="77777777" w:rsidR="00406EAC" w:rsidRPr="00045C9B" w:rsidRDefault="00406EA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BA7A53" w:rsidRPr="003613A7" w14:paraId="7C38BBFA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46C468" w14:textId="77777777" w:rsidR="00BA7A53" w:rsidRPr="00045C9B" w:rsidRDefault="00BA7A53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1E9B11B" w14:textId="70A079D3" w:rsidR="00BA7A53" w:rsidRPr="00045C9B" w:rsidRDefault="00BA7A53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Able to assess the effectiveness of </w:t>
            </w:r>
            <w:r w:rsidR="007363CE" w:rsidRPr="00045C9B">
              <w:rPr>
                <w:rFonts w:ascii="Arial" w:hAnsi="Arial" w:cs="Arial"/>
                <w:color w:val="000000"/>
              </w:rPr>
              <w:t>current process and services, and to use appropriate methods to identify and measure improvements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3C453B" w14:textId="77777777" w:rsidR="00BA7A53" w:rsidRPr="00045C9B" w:rsidRDefault="00BA7A53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A0653C" w:rsidRPr="003613A7" w14:paraId="77B30AD6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C1FBA" w14:textId="77777777" w:rsidR="00A0653C" w:rsidRPr="00045C9B" w:rsidRDefault="00A0653C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4F36D17" w14:textId="77777777" w:rsidR="00A0653C" w:rsidRDefault="00A0653C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Able to </w:t>
            </w:r>
            <w:r w:rsidR="007577D7" w:rsidRPr="00045C9B">
              <w:rPr>
                <w:rFonts w:ascii="Arial" w:hAnsi="Arial" w:cs="Arial"/>
                <w:color w:val="000000"/>
              </w:rPr>
              <w:t>effectively use a PC to prepare documents, record information or input data.</w:t>
            </w:r>
          </w:p>
          <w:p w14:paraId="5809ECF9" w14:textId="0FF4948C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D4F476" w14:textId="77777777" w:rsidR="00A0653C" w:rsidRPr="00045C9B" w:rsidRDefault="00A0653C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6D69E3" w:rsidRPr="003613A7" w14:paraId="60D715BB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BC702C" w14:textId="77777777" w:rsidR="006D69E3" w:rsidRPr="00045C9B" w:rsidRDefault="006D69E3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A885752" w14:textId="77777777" w:rsidR="006D69E3" w:rsidRPr="00045C9B" w:rsidRDefault="006D69E3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Ability to develop knowledge and experience of</w:t>
            </w:r>
          </w:p>
          <w:p w14:paraId="7C5F2B32" w14:textId="7C99CA51" w:rsidR="006D69E3" w:rsidRPr="00045C9B" w:rsidRDefault="00735657" w:rsidP="006D69E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 cl</w:t>
            </w:r>
            <w:r w:rsidR="001C482D" w:rsidRPr="00045C9B">
              <w:rPr>
                <w:rFonts w:ascii="Arial" w:hAnsi="Arial" w:cs="Arial"/>
                <w:color w:val="000000"/>
              </w:rPr>
              <w:t>e</w:t>
            </w:r>
            <w:r w:rsidRPr="00045C9B">
              <w:rPr>
                <w:rFonts w:ascii="Arial" w:hAnsi="Arial" w:cs="Arial"/>
                <w:color w:val="000000"/>
              </w:rPr>
              <w:t xml:space="preserve">ar understand of the needs of </w:t>
            </w:r>
            <w:proofErr w:type="gramStart"/>
            <w:r w:rsidRPr="00045C9B">
              <w:rPr>
                <w:rFonts w:ascii="Arial" w:hAnsi="Arial" w:cs="Arial"/>
                <w:color w:val="000000"/>
              </w:rPr>
              <w:t>local residents</w:t>
            </w:r>
            <w:proofErr w:type="gramEnd"/>
            <w:r w:rsidRPr="00045C9B">
              <w:rPr>
                <w:rFonts w:ascii="Arial" w:hAnsi="Arial" w:cs="Arial"/>
                <w:color w:val="000000"/>
              </w:rPr>
              <w:t xml:space="preserve"> </w:t>
            </w:r>
          </w:p>
          <w:p w14:paraId="26A5D93F" w14:textId="6ECE54D8" w:rsidR="00735657" w:rsidRPr="00045C9B" w:rsidRDefault="00735657" w:rsidP="006D69E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To coordinate service delivery with </w:t>
            </w:r>
            <w:r w:rsidR="001C482D" w:rsidRPr="00045C9B">
              <w:rPr>
                <w:rFonts w:ascii="Arial" w:hAnsi="Arial" w:cs="Arial"/>
                <w:color w:val="000000"/>
              </w:rPr>
              <w:t>partners</w:t>
            </w:r>
            <w:r w:rsidRPr="00045C9B">
              <w:rPr>
                <w:rFonts w:ascii="Arial" w:hAnsi="Arial" w:cs="Arial"/>
                <w:color w:val="000000"/>
              </w:rPr>
              <w:t xml:space="preserve"> </w:t>
            </w:r>
            <w:r w:rsidR="00771974" w:rsidRPr="00045C9B">
              <w:rPr>
                <w:rFonts w:ascii="Arial" w:hAnsi="Arial" w:cs="Arial"/>
                <w:color w:val="000000"/>
              </w:rPr>
              <w:t xml:space="preserve">to reduce demarcations </w:t>
            </w:r>
          </w:p>
          <w:p w14:paraId="5D952BBD" w14:textId="77777777" w:rsidR="00771974" w:rsidRDefault="00771974" w:rsidP="006D69E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En</w:t>
            </w:r>
            <w:r w:rsidR="001C482D" w:rsidRPr="00045C9B">
              <w:rPr>
                <w:rFonts w:ascii="Arial" w:hAnsi="Arial" w:cs="Arial"/>
                <w:color w:val="000000"/>
              </w:rPr>
              <w:t>s</w:t>
            </w:r>
            <w:r w:rsidRPr="00045C9B">
              <w:rPr>
                <w:rFonts w:ascii="Arial" w:hAnsi="Arial" w:cs="Arial"/>
                <w:color w:val="000000"/>
              </w:rPr>
              <w:t>uring the health and safety fo</w:t>
            </w:r>
            <w:r w:rsidR="00045C9B">
              <w:rPr>
                <w:rFonts w:ascii="Arial" w:hAnsi="Arial" w:cs="Arial"/>
                <w:color w:val="000000"/>
              </w:rPr>
              <w:t>r</w:t>
            </w:r>
            <w:r w:rsidRPr="00045C9B">
              <w:rPr>
                <w:rFonts w:ascii="Arial" w:hAnsi="Arial" w:cs="Arial"/>
                <w:color w:val="000000"/>
              </w:rPr>
              <w:t xml:space="preserve"> the employe</w:t>
            </w:r>
            <w:r w:rsidR="001C482D" w:rsidRPr="00045C9B">
              <w:rPr>
                <w:rFonts w:ascii="Arial" w:hAnsi="Arial" w:cs="Arial"/>
                <w:color w:val="000000"/>
              </w:rPr>
              <w:t>e</w:t>
            </w:r>
            <w:r w:rsidRPr="00045C9B">
              <w:rPr>
                <w:rFonts w:ascii="Arial" w:hAnsi="Arial" w:cs="Arial"/>
                <w:color w:val="000000"/>
              </w:rPr>
              <w:t xml:space="preserve">s and other, implementing </w:t>
            </w:r>
            <w:r w:rsidR="001C482D" w:rsidRPr="00045C9B">
              <w:rPr>
                <w:rFonts w:ascii="Arial" w:hAnsi="Arial" w:cs="Arial"/>
                <w:color w:val="000000"/>
              </w:rPr>
              <w:t>safe systems of work.</w:t>
            </w:r>
          </w:p>
          <w:p w14:paraId="2328251F" w14:textId="611429D1" w:rsidR="00045C9B" w:rsidRPr="00045C9B" w:rsidRDefault="00045C9B" w:rsidP="00045C9B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24E7A2" w14:textId="77777777" w:rsidR="006D69E3" w:rsidRPr="00045C9B" w:rsidRDefault="006D69E3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5909CE" w:rsidRPr="003613A7" w14:paraId="0ACF2316" w14:textId="77777777" w:rsidTr="00823636">
        <w:trPr>
          <w:trHeight w:val="539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2155E0" w14:textId="77777777" w:rsidR="005909CE" w:rsidRPr="00045C9B" w:rsidRDefault="005909CE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1E85B47" w14:textId="2D8F926D" w:rsidR="005909CE" w:rsidRPr="00045C9B" w:rsidRDefault="005909CE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Manage </w:t>
            </w:r>
            <w:r w:rsidR="00CD51B1" w:rsidRPr="00045C9B">
              <w:rPr>
                <w:rFonts w:ascii="Arial" w:hAnsi="Arial" w:cs="Arial"/>
                <w:color w:val="000000"/>
              </w:rPr>
              <w:t>effective budgets.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0271A9" w14:textId="77777777" w:rsidR="005909CE" w:rsidRPr="00045C9B" w:rsidRDefault="005909CE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CD51B1" w:rsidRPr="003613A7" w14:paraId="33091CD3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1B1A65A" w14:textId="77777777" w:rsidR="00CD51B1" w:rsidRPr="00045C9B" w:rsidRDefault="00CD51B1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4BDC0C" w14:textId="77777777" w:rsidR="00CD51B1" w:rsidRDefault="00CD51B1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Make effective decisions </w:t>
            </w:r>
            <w:r w:rsidR="00E413AE" w:rsidRPr="00045C9B">
              <w:rPr>
                <w:rFonts w:ascii="Arial" w:hAnsi="Arial" w:cs="Arial"/>
                <w:color w:val="000000"/>
              </w:rPr>
              <w:t xml:space="preserve">which balance competing </w:t>
            </w:r>
            <w:r w:rsidR="008F3841" w:rsidRPr="00045C9B">
              <w:rPr>
                <w:rFonts w:ascii="Arial" w:hAnsi="Arial" w:cs="Arial"/>
                <w:color w:val="000000"/>
              </w:rPr>
              <w:t>objectives</w:t>
            </w:r>
            <w:r w:rsidR="00E413AE" w:rsidRPr="00045C9B">
              <w:rPr>
                <w:rFonts w:ascii="Arial" w:hAnsi="Arial" w:cs="Arial"/>
                <w:color w:val="000000"/>
              </w:rPr>
              <w:t xml:space="preserve"> and resources.</w:t>
            </w:r>
          </w:p>
          <w:p w14:paraId="5747989F" w14:textId="79ACE7F7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0B6E200" w14:textId="77777777" w:rsidR="00CD51B1" w:rsidRPr="00045C9B" w:rsidRDefault="00CD51B1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8F3841" w:rsidRPr="003613A7" w14:paraId="7573817D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EE37A9" w14:textId="77777777" w:rsidR="008F3841" w:rsidRPr="00045C9B" w:rsidRDefault="008F3841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DD3D07" w14:textId="77777777" w:rsidR="008F3841" w:rsidRDefault="008F3841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Ability to </w:t>
            </w:r>
            <w:r w:rsidR="009104BE" w:rsidRPr="00045C9B">
              <w:rPr>
                <w:rFonts w:ascii="Arial" w:hAnsi="Arial" w:cs="Arial"/>
                <w:color w:val="000000"/>
              </w:rPr>
              <w:t>think clearly and objectively during times of high pressure and remain calm</w:t>
            </w:r>
            <w:r w:rsidR="00DC380D" w:rsidRPr="00045C9B">
              <w:rPr>
                <w:rFonts w:ascii="Arial" w:hAnsi="Arial" w:cs="Arial"/>
                <w:color w:val="000000"/>
              </w:rPr>
              <w:t xml:space="preserve"> in the face of adversity.</w:t>
            </w:r>
          </w:p>
          <w:p w14:paraId="49DA1820" w14:textId="6E45B929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DC5346" w14:textId="77777777" w:rsidR="008F3841" w:rsidRPr="00045C9B" w:rsidRDefault="008F3841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DC380D" w:rsidRPr="003613A7" w14:paraId="4F944D91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AB13C4" w14:textId="77777777" w:rsidR="00DC380D" w:rsidRPr="00045C9B" w:rsidRDefault="00DC380D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670D123" w14:textId="77777777" w:rsidR="00DC380D" w:rsidRDefault="00DC380D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Takes long term view</w:t>
            </w:r>
            <w:r w:rsidR="00AA4D57" w:rsidRPr="00045C9B">
              <w:rPr>
                <w:rFonts w:ascii="Arial" w:hAnsi="Arial" w:cs="Arial"/>
                <w:color w:val="000000"/>
              </w:rPr>
              <w:t>, sets goals, and evaluates the impact of ideas and policy decisions</w:t>
            </w:r>
            <w:r w:rsidR="00045C9B">
              <w:rPr>
                <w:rFonts w:ascii="Arial" w:hAnsi="Arial" w:cs="Arial"/>
                <w:color w:val="000000"/>
              </w:rPr>
              <w:t>.</w:t>
            </w:r>
          </w:p>
          <w:p w14:paraId="3922145B" w14:textId="351B614F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B73ABD7" w14:textId="77777777" w:rsidR="00DC380D" w:rsidRPr="00045C9B" w:rsidRDefault="00DC380D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F0B8A" w:rsidRPr="003613A7" w14:paraId="3B18081F" w14:textId="77777777" w:rsidTr="00045C9B">
        <w:trPr>
          <w:trHeight w:val="828"/>
        </w:trPr>
        <w:tc>
          <w:tcPr>
            <w:tcW w:w="2765" w:type="dxa"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E85219" w14:textId="77777777" w:rsidR="007F0B8A" w:rsidRPr="00045C9B" w:rsidRDefault="007F0B8A" w:rsidP="000726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A24638" w14:textId="4E855805" w:rsidR="007F0B8A" w:rsidRPr="00045C9B" w:rsidRDefault="00045C9B" w:rsidP="001E39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7F0B8A" w:rsidRPr="00045C9B">
              <w:rPr>
                <w:rFonts w:ascii="Arial" w:hAnsi="Arial" w:cs="Arial"/>
                <w:color w:val="000000"/>
              </w:rPr>
              <w:t xml:space="preserve">romote the Council’s values. 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6CDAF1" w14:textId="77777777" w:rsidR="007F0B8A" w:rsidRPr="00045C9B" w:rsidRDefault="007F0B8A" w:rsidP="0065173B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191F65" w:rsidRPr="003613A7" w14:paraId="69B86F6F" w14:textId="77777777" w:rsidTr="00045C9B"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5FF6C51" w14:textId="6EE31787" w:rsidR="00191F65" w:rsidRPr="00045C9B" w:rsidRDefault="00191F65" w:rsidP="0065173B">
            <w:pPr>
              <w:rPr>
                <w:rFonts w:ascii="Arial" w:hAnsi="Arial" w:cs="Arial"/>
                <w:b/>
                <w:bCs/>
              </w:rPr>
            </w:pPr>
            <w:r w:rsidRPr="00045C9B">
              <w:rPr>
                <w:rFonts w:ascii="Arial" w:hAnsi="Arial" w:cs="Arial"/>
                <w:b/>
                <w:bCs/>
              </w:rPr>
              <w:t>Work Related Behaviours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815D583" w14:textId="77777777" w:rsidR="00191F65" w:rsidRPr="00045C9B" w:rsidRDefault="00191F65" w:rsidP="007F0B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Able to persuade, negotiate and influence effectively.</w:t>
            </w:r>
          </w:p>
          <w:p w14:paraId="62EB622D" w14:textId="631DC4DA" w:rsidR="00191F65" w:rsidRPr="00045C9B" w:rsidRDefault="00191F65" w:rsidP="006420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B2230D6" w14:textId="18C1495B" w:rsidR="00191F65" w:rsidRPr="00045C9B" w:rsidRDefault="008F17CE" w:rsidP="00DD6C04">
            <w:pPr>
              <w:jc w:val="center"/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 xml:space="preserve">Short online </w:t>
            </w:r>
            <w:r w:rsidR="001009AF" w:rsidRPr="00045C9B">
              <w:rPr>
                <w:rFonts w:ascii="Arial" w:hAnsi="Arial" w:cs="Arial"/>
                <w:color w:val="000000"/>
              </w:rPr>
              <w:t>A</w:t>
            </w:r>
            <w:r w:rsidRPr="00045C9B">
              <w:rPr>
                <w:rFonts w:ascii="Arial" w:hAnsi="Arial" w:cs="Arial"/>
                <w:color w:val="000000"/>
              </w:rPr>
              <w:t>ssess</w:t>
            </w:r>
            <w:r w:rsidR="001009AF" w:rsidRPr="00045C9B">
              <w:rPr>
                <w:rFonts w:ascii="Arial" w:hAnsi="Arial" w:cs="Arial"/>
                <w:color w:val="000000"/>
              </w:rPr>
              <w:t>m</w:t>
            </w:r>
            <w:r w:rsidRPr="00045C9B">
              <w:rPr>
                <w:rFonts w:ascii="Arial" w:hAnsi="Arial" w:cs="Arial"/>
                <w:color w:val="000000"/>
              </w:rPr>
              <w:t>ent</w:t>
            </w:r>
          </w:p>
        </w:tc>
      </w:tr>
      <w:tr w:rsidR="00191F65" w:rsidRPr="003613A7" w14:paraId="1100FAB0" w14:textId="77777777" w:rsidTr="00045C9B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FD8AB9" w14:textId="77777777" w:rsidR="00191F65" w:rsidRPr="00045C9B" w:rsidRDefault="00191F65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21684A" w14:textId="3BF73AF9" w:rsidR="00191F65" w:rsidRPr="00045C9B" w:rsidRDefault="00823636" w:rsidP="006420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191F65" w:rsidRPr="00045C9B">
              <w:rPr>
                <w:rFonts w:ascii="Arial" w:hAnsi="Arial" w:cs="Arial"/>
                <w:color w:val="000000"/>
              </w:rPr>
              <w:t>ble to adapt behaviour to suit the situation or customer.</w:t>
            </w:r>
          </w:p>
          <w:p w14:paraId="48BFD903" w14:textId="7EC0E516" w:rsidR="00191F65" w:rsidRPr="00045C9B" w:rsidRDefault="00191F65" w:rsidP="00191F65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F52109" w14:textId="77777777" w:rsidR="00191F65" w:rsidRPr="00045C9B" w:rsidRDefault="00191F65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1F65" w:rsidRPr="003613A7" w14:paraId="7C3C6AF5" w14:textId="77777777" w:rsidTr="00045C9B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FFEA93" w14:textId="19E84D74" w:rsidR="00191F65" w:rsidRPr="00045C9B" w:rsidRDefault="00191F65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BD6A966" w14:textId="2E3FC2A6" w:rsidR="00191F65" w:rsidRPr="00045C9B" w:rsidRDefault="00191F65" w:rsidP="00191F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Able to conceal emotions or feelings in the workplace.</w:t>
            </w:r>
            <w:r w:rsidR="00DD6C0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2D7709" w14:textId="77777777" w:rsidR="00191F65" w:rsidRPr="00045C9B" w:rsidRDefault="00191F65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3613A7" w14:paraId="4D2A3695" w14:textId="7C93B172" w:rsidTr="00045C9B"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A447AFF" w14:textId="760A08D5" w:rsidR="001009AF" w:rsidRPr="00045C9B" w:rsidRDefault="001009AF" w:rsidP="0065173B">
            <w:pPr>
              <w:rPr>
                <w:rFonts w:ascii="Arial" w:hAnsi="Arial" w:cs="Arial"/>
                <w:b/>
                <w:bCs/>
              </w:rPr>
            </w:pPr>
            <w:r w:rsidRPr="00045C9B">
              <w:rPr>
                <w:rFonts w:ascii="Arial" w:hAnsi="Arial" w:cs="Arial"/>
                <w:b/>
                <w:bCs/>
              </w:rPr>
              <w:t>Work Related Circumstances/Values of the Council</w:t>
            </w:r>
          </w:p>
          <w:p w14:paraId="702F5044" w14:textId="77777777" w:rsidR="001009AF" w:rsidRPr="00045C9B" w:rsidRDefault="001009AF" w:rsidP="0065173B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6B0BA40" w14:textId="63C134D3" w:rsidR="001009AF" w:rsidRDefault="00823636" w:rsidP="008F17C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1009AF" w:rsidRPr="00045C9B">
              <w:rPr>
                <w:rFonts w:ascii="Arial" w:hAnsi="Arial" w:cs="Arial"/>
                <w:color w:val="000000"/>
              </w:rPr>
              <w:t>bility to work outside normal working hours to meet the needs of the service</w:t>
            </w:r>
            <w:r w:rsidR="00045C9B">
              <w:rPr>
                <w:rFonts w:ascii="Arial" w:hAnsi="Arial" w:cs="Arial"/>
                <w:color w:val="000000"/>
              </w:rPr>
              <w:t>.</w:t>
            </w:r>
          </w:p>
          <w:p w14:paraId="6227336B" w14:textId="441FE569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B5BA6" w14:textId="1575F6CE" w:rsidR="001009AF" w:rsidRPr="00045C9B" w:rsidRDefault="00045C9B" w:rsidP="006517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Application form/Interview</w:t>
            </w:r>
          </w:p>
        </w:tc>
      </w:tr>
      <w:tr w:rsidR="001009AF" w:rsidRPr="003613A7" w14:paraId="1FB3E148" w14:textId="77777777" w:rsidTr="00045C9B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26B336" w14:textId="77777777" w:rsidR="001009AF" w:rsidRPr="00045C9B" w:rsidRDefault="001009AF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B4DE4CF" w14:textId="77777777" w:rsidR="001009AF" w:rsidRDefault="001009AF" w:rsidP="00FD09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045C9B">
              <w:rPr>
                <w:rFonts w:ascii="Arial" w:hAnsi="Arial" w:cs="Arial"/>
                <w:color w:val="000000"/>
              </w:rPr>
              <w:t>Ability to meet the travel requirements of the post.</w:t>
            </w:r>
          </w:p>
          <w:p w14:paraId="1EB5D265" w14:textId="6989ECCA" w:rsidR="00045C9B" w:rsidRPr="00045C9B" w:rsidRDefault="00045C9B" w:rsidP="00045C9B">
            <w:pPr>
              <w:pStyle w:val="ListParagraph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405533E0" w14:textId="77777777" w:rsidR="001009AF" w:rsidRPr="00045C9B" w:rsidRDefault="001009AF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3613A7" w14:paraId="3FD02DFC" w14:textId="77777777" w:rsidTr="00045C9B">
        <w:tc>
          <w:tcPr>
            <w:tcW w:w="276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9F3B36" w14:textId="77777777" w:rsidR="001009AF" w:rsidRPr="00045C9B" w:rsidRDefault="001009AF" w:rsidP="006517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2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502D35" w14:textId="59661A54" w:rsidR="001009AF" w:rsidRPr="00045C9B" w:rsidRDefault="001009AF" w:rsidP="001009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5C9B">
              <w:rPr>
                <w:rFonts w:ascii="Arial" w:hAnsi="Arial" w:cs="Arial"/>
              </w:rPr>
              <w:t>Compliance with health and safety rules, regulations, and legislation</w:t>
            </w:r>
            <w:r w:rsidR="00823636">
              <w:rPr>
                <w:rFonts w:ascii="Arial" w:hAnsi="Arial" w:cs="Arial"/>
              </w:rPr>
              <w:t>.</w:t>
            </w:r>
          </w:p>
          <w:p w14:paraId="27AF8D57" w14:textId="19F59955" w:rsidR="001009AF" w:rsidRPr="00045C9B" w:rsidRDefault="001009AF" w:rsidP="001009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14CE0CDD" w14:textId="77777777" w:rsidR="001009AF" w:rsidRPr="00045C9B" w:rsidRDefault="001009AF" w:rsidP="006517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09AF" w:rsidRPr="003613A7" w14:paraId="7EDD2465" w14:textId="77777777" w:rsidTr="00045C9B"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CE3754" w14:textId="77777777" w:rsidR="001009AF" w:rsidRPr="00045C9B" w:rsidRDefault="001009AF" w:rsidP="00D2213D">
            <w:pPr>
              <w:rPr>
                <w:rFonts w:ascii="Arial" w:hAnsi="Arial" w:cs="Arial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2D91CC" w14:textId="06147200" w:rsidR="001009AF" w:rsidRPr="00045C9B" w:rsidRDefault="001009AF" w:rsidP="001009A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45C9B">
              <w:rPr>
                <w:rFonts w:ascii="Arial" w:hAnsi="Arial" w:cs="Arial"/>
              </w:rPr>
              <w:t>Commitment to Equal Opportunities</w:t>
            </w:r>
            <w:r w:rsidR="00823636">
              <w:rPr>
                <w:rFonts w:ascii="Arial" w:hAnsi="Arial" w:cs="Arial"/>
              </w:rPr>
              <w:t>.</w:t>
            </w:r>
          </w:p>
          <w:p w14:paraId="3F3EF163" w14:textId="77777777" w:rsidR="001009AF" w:rsidRPr="00045C9B" w:rsidRDefault="001009AF" w:rsidP="00D2213D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83B" w14:textId="77777777" w:rsidR="001009AF" w:rsidRPr="00045C9B" w:rsidRDefault="001009AF" w:rsidP="008F17C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BD44" w14:textId="77777777" w:rsidR="00B16802" w:rsidRDefault="00B16802" w:rsidP="0065173B">
      <w:r>
        <w:separator/>
      </w:r>
    </w:p>
  </w:endnote>
  <w:endnote w:type="continuationSeparator" w:id="0">
    <w:p w14:paraId="1570819B" w14:textId="77777777" w:rsidR="00B16802" w:rsidRDefault="00B16802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35E0" w14:textId="77777777" w:rsidR="00B16802" w:rsidRDefault="00B16802" w:rsidP="0065173B">
      <w:r>
        <w:separator/>
      </w:r>
    </w:p>
  </w:footnote>
  <w:footnote w:type="continuationSeparator" w:id="0">
    <w:p w14:paraId="2CA5D96B" w14:textId="77777777" w:rsidR="00B16802" w:rsidRDefault="00B16802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86D"/>
    <w:multiLevelType w:val="hybridMultilevel"/>
    <w:tmpl w:val="3E6068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7E2"/>
    <w:multiLevelType w:val="hybridMultilevel"/>
    <w:tmpl w:val="176A9536"/>
    <w:lvl w:ilvl="0" w:tplc="2AE06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209A4"/>
    <w:multiLevelType w:val="hybridMultilevel"/>
    <w:tmpl w:val="2040A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92090"/>
    <w:multiLevelType w:val="hybridMultilevel"/>
    <w:tmpl w:val="F2AAF4F6"/>
    <w:lvl w:ilvl="0" w:tplc="901AA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44F2B"/>
    <w:multiLevelType w:val="hybridMultilevel"/>
    <w:tmpl w:val="150A82D8"/>
    <w:lvl w:ilvl="0" w:tplc="348A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45C9B"/>
    <w:rsid w:val="00064CC2"/>
    <w:rsid w:val="000726A7"/>
    <w:rsid w:val="000A08D4"/>
    <w:rsid w:val="000C6F52"/>
    <w:rsid w:val="001009AF"/>
    <w:rsid w:val="001203C8"/>
    <w:rsid w:val="00187003"/>
    <w:rsid w:val="00191F65"/>
    <w:rsid w:val="001C482D"/>
    <w:rsid w:val="001C5961"/>
    <w:rsid w:val="001E3995"/>
    <w:rsid w:val="001F1FF1"/>
    <w:rsid w:val="00260819"/>
    <w:rsid w:val="002C0BA8"/>
    <w:rsid w:val="002E41AC"/>
    <w:rsid w:val="00316D08"/>
    <w:rsid w:val="0033379F"/>
    <w:rsid w:val="003613A7"/>
    <w:rsid w:val="003716D4"/>
    <w:rsid w:val="00393E23"/>
    <w:rsid w:val="00406EAC"/>
    <w:rsid w:val="00407726"/>
    <w:rsid w:val="004300EF"/>
    <w:rsid w:val="00436424"/>
    <w:rsid w:val="0044225A"/>
    <w:rsid w:val="004A7F38"/>
    <w:rsid w:val="004E17BB"/>
    <w:rsid w:val="004F5F8E"/>
    <w:rsid w:val="00505CB1"/>
    <w:rsid w:val="00532716"/>
    <w:rsid w:val="005502CC"/>
    <w:rsid w:val="005909CE"/>
    <w:rsid w:val="00597755"/>
    <w:rsid w:val="00642087"/>
    <w:rsid w:val="0065173B"/>
    <w:rsid w:val="00685A00"/>
    <w:rsid w:val="006B3C52"/>
    <w:rsid w:val="006D69E3"/>
    <w:rsid w:val="00735657"/>
    <w:rsid w:val="007363CE"/>
    <w:rsid w:val="007577D7"/>
    <w:rsid w:val="00767ADA"/>
    <w:rsid w:val="00771974"/>
    <w:rsid w:val="007E35B6"/>
    <w:rsid w:val="007F0B8A"/>
    <w:rsid w:val="00823636"/>
    <w:rsid w:val="0089366A"/>
    <w:rsid w:val="008F0E31"/>
    <w:rsid w:val="008F17CE"/>
    <w:rsid w:val="008F231B"/>
    <w:rsid w:val="008F3841"/>
    <w:rsid w:val="009104BE"/>
    <w:rsid w:val="009105B3"/>
    <w:rsid w:val="0094206E"/>
    <w:rsid w:val="00956CE2"/>
    <w:rsid w:val="00957BAE"/>
    <w:rsid w:val="00A0653C"/>
    <w:rsid w:val="00A11852"/>
    <w:rsid w:val="00A1684E"/>
    <w:rsid w:val="00A46F52"/>
    <w:rsid w:val="00A778C8"/>
    <w:rsid w:val="00AA4D57"/>
    <w:rsid w:val="00AB0124"/>
    <w:rsid w:val="00B16802"/>
    <w:rsid w:val="00BA7A53"/>
    <w:rsid w:val="00BC55A0"/>
    <w:rsid w:val="00BD2151"/>
    <w:rsid w:val="00BE29AD"/>
    <w:rsid w:val="00C22177"/>
    <w:rsid w:val="00C454F6"/>
    <w:rsid w:val="00CD51B1"/>
    <w:rsid w:val="00D27680"/>
    <w:rsid w:val="00D460C6"/>
    <w:rsid w:val="00D6093F"/>
    <w:rsid w:val="00D75EB0"/>
    <w:rsid w:val="00D8670D"/>
    <w:rsid w:val="00DC380D"/>
    <w:rsid w:val="00DD6C04"/>
    <w:rsid w:val="00DF22F5"/>
    <w:rsid w:val="00E413AE"/>
    <w:rsid w:val="00F02954"/>
    <w:rsid w:val="00F65128"/>
    <w:rsid w:val="00F90ACA"/>
    <w:rsid w:val="00FB0826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5238334D8DD488A841FDFB34F16CB" ma:contentTypeVersion="6" ma:contentTypeDescription="Create a new document." ma:contentTypeScope="" ma:versionID="d807930d0c00fb2be51e3e8864cb546e">
  <xsd:schema xmlns:xsd="http://www.w3.org/2001/XMLSchema" xmlns:xs="http://www.w3.org/2001/XMLSchema" xmlns:p="http://schemas.microsoft.com/office/2006/metadata/properties" xmlns:ns2="1ae42b9c-78da-487d-ba3a-33ddd5659655" xmlns:ns3="c57fe3b7-7b30-44cd-9004-f1cbe0ea2808" targetNamespace="http://schemas.microsoft.com/office/2006/metadata/properties" ma:root="true" ma:fieldsID="31a2f0e7f200c5aae07a8f1ef264f2f2" ns2:_="" ns3:_="">
    <xsd:import namespace="1ae42b9c-78da-487d-ba3a-33ddd5659655"/>
    <xsd:import namespace="c57fe3b7-7b30-44cd-9004-f1cbe0ea28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2b9c-78da-487d-ba3a-33ddd5659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3b7-7b30-44cd-9004-f1cbe0ea2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B5E0C-8CDB-41F5-B1D3-760362AF6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42b9c-78da-487d-ba3a-33ddd5659655"/>
    <ds:schemaRef ds:uri="c57fe3b7-7b30-44cd-9004-f1cbe0ea2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2021-06-14T13:02:00Z</dcterms:created>
  <dcterms:modified xsi:type="dcterms:W3CDTF">2021-07-14T09:37:00Z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0x01010050D5238334D8DD488A841FDFB34F16CB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