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9B0B" w14:textId="77777777" w:rsidR="00945D9F" w:rsidRPr="000855D0" w:rsidRDefault="00D01928" w:rsidP="006607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55D0">
        <w:rPr>
          <w:rFonts w:ascii="Arial" w:hAnsi="Arial" w:cs="Arial"/>
          <w:sz w:val="24"/>
          <w:szCs w:val="24"/>
        </w:rPr>
        <w:t xml:space="preserve">There are three stages within the </w:t>
      </w:r>
      <w:r w:rsidR="005B2F05" w:rsidRPr="000855D0">
        <w:rPr>
          <w:rFonts w:ascii="Arial" w:hAnsi="Arial" w:cs="Arial"/>
          <w:sz w:val="24"/>
          <w:szCs w:val="24"/>
        </w:rPr>
        <w:t>C</w:t>
      </w:r>
      <w:r w:rsidRPr="000855D0">
        <w:rPr>
          <w:rFonts w:ascii="Arial" w:hAnsi="Arial" w:cs="Arial"/>
          <w:sz w:val="24"/>
          <w:szCs w:val="24"/>
        </w:rPr>
        <w:t xml:space="preserve">areer </w:t>
      </w:r>
      <w:r w:rsidR="005B2F05" w:rsidRPr="000855D0">
        <w:rPr>
          <w:rFonts w:ascii="Arial" w:hAnsi="Arial" w:cs="Arial"/>
          <w:sz w:val="24"/>
          <w:szCs w:val="24"/>
        </w:rPr>
        <w:t>P</w:t>
      </w:r>
      <w:r w:rsidRPr="000855D0">
        <w:rPr>
          <w:rFonts w:ascii="Arial" w:hAnsi="Arial" w:cs="Arial"/>
          <w:sz w:val="24"/>
          <w:szCs w:val="24"/>
        </w:rPr>
        <w:t xml:space="preserve">rogression </w:t>
      </w:r>
      <w:r w:rsidR="005B2F05" w:rsidRPr="000855D0">
        <w:rPr>
          <w:rFonts w:ascii="Arial" w:hAnsi="Arial" w:cs="Arial"/>
          <w:sz w:val="24"/>
          <w:szCs w:val="24"/>
        </w:rPr>
        <w:t>S</w:t>
      </w:r>
      <w:r w:rsidRPr="000855D0">
        <w:rPr>
          <w:rFonts w:ascii="Arial" w:hAnsi="Arial" w:cs="Arial"/>
          <w:sz w:val="24"/>
          <w:szCs w:val="24"/>
        </w:rPr>
        <w:t>cheme</w:t>
      </w:r>
      <w:r w:rsidR="005B2F05" w:rsidRPr="000855D0">
        <w:rPr>
          <w:rFonts w:ascii="Arial" w:hAnsi="Arial" w:cs="Arial"/>
          <w:sz w:val="24"/>
          <w:szCs w:val="24"/>
        </w:rPr>
        <w:t xml:space="preserve"> for Environmental Health Officers</w:t>
      </w:r>
      <w:r w:rsidRPr="000855D0">
        <w:rPr>
          <w:rFonts w:ascii="Arial" w:hAnsi="Arial" w:cs="Arial"/>
          <w:sz w:val="24"/>
          <w:szCs w:val="24"/>
        </w:rPr>
        <w:t>. The table below shows the pay grades</w:t>
      </w:r>
      <w:r w:rsidR="005B2F05" w:rsidRPr="000855D0">
        <w:rPr>
          <w:rFonts w:ascii="Arial" w:hAnsi="Arial" w:cs="Arial"/>
          <w:sz w:val="24"/>
          <w:szCs w:val="24"/>
        </w:rPr>
        <w:t xml:space="preserve"> </w:t>
      </w:r>
      <w:r w:rsidRPr="000855D0">
        <w:rPr>
          <w:rFonts w:ascii="Arial" w:hAnsi="Arial" w:cs="Arial"/>
          <w:sz w:val="24"/>
          <w:szCs w:val="24"/>
        </w:rPr>
        <w:t>applicable to each stage of the scheme.</w:t>
      </w:r>
      <w:r w:rsidR="006607A1" w:rsidRPr="000855D0">
        <w:rPr>
          <w:rFonts w:ascii="Arial" w:hAnsi="Arial" w:cs="Arial"/>
          <w:sz w:val="24"/>
          <w:szCs w:val="24"/>
        </w:rPr>
        <w:t xml:space="preserve"> </w:t>
      </w:r>
      <w:r w:rsidR="005B2F05" w:rsidRPr="000855D0">
        <w:rPr>
          <w:rFonts w:ascii="Arial" w:hAnsi="Arial" w:cs="Arial"/>
          <w:sz w:val="24"/>
          <w:szCs w:val="24"/>
        </w:rPr>
        <w:t>A</w:t>
      </w:r>
      <w:r w:rsidRPr="000855D0">
        <w:rPr>
          <w:rFonts w:ascii="Arial" w:hAnsi="Arial" w:cs="Arial"/>
          <w:sz w:val="24"/>
          <w:szCs w:val="24"/>
        </w:rPr>
        <w:t xml:space="preserve">t each stage the minimum requirements </w:t>
      </w:r>
      <w:r w:rsidR="005B2F05" w:rsidRPr="000855D0">
        <w:rPr>
          <w:rFonts w:ascii="Arial" w:hAnsi="Arial" w:cs="Arial"/>
          <w:sz w:val="24"/>
          <w:szCs w:val="24"/>
        </w:rPr>
        <w:t>of qualifications,</w:t>
      </w:r>
      <w:r w:rsidRPr="000855D0">
        <w:rPr>
          <w:rFonts w:ascii="Arial" w:hAnsi="Arial" w:cs="Arial"/>
          <w:sz w:val="24"/>
          <w:szCs w:val="24"/>
        </w:rPr>
        <w:t xml:space="preserve"> knowledge, skills and experience that individual need</w:t>
      </w:r>
      <w:r w:rsidR="005B2F05" w:rsidRPr="000855D0">
        <w:rPr>
          <w:rFonts w:ascii="Arial" w:hAnsi="Arial" w:cs="Arial"/>
          <w:sz w:val="24"/>
          <w:szCs w:val="24"/>
        </w:rPr>
        <w:t>s</w:t>
      </w:r>
      <w:r w:rsidRPr="000855D0">
        <w:rPr>
          <w:rFonts w:ascii="Arial" w:hAnsi="Arial" w:cs="Arial"/>
          <w:sz w:val="24"/>
          <w:szCs w:val="24"/>
        </w:rPr>
        <w:t xml:space="preserve"> to meet</w:t>
      </w:r>
      <w:r w:rsidR="005B2F05" w:rsidRPr="000855D0">
        <w:rPr>
          <w:rFonts w:ascii="Arial" w:hAnsi="Arial" w:cs="Arial"/>
          <w:sz w:val="24"/>
          <w:szCs w:val="24"/>
        </w:rPr>
        <w:t xml:space="preserve"> is described</w:t>
      </w:r>
      <w:r w:rsidRPr="000855D0">
        <w:rPr>
          <w:rFonts w:ascii="Arial" w:hAnsi="Arial" w:cs="Arial"/>
          <w:sz w:val="24"/>
          <w:szCs w:val="24"/>
        </w:rPr>
        <w:t>.</w:t>
      </w:r>
      <w:r w:rsidR="00945D9F" w:rsidRPr="000855D0">
        <w:rPr>
          <w:rFonts w:ascii="Arial" w:hAnsi="Arial" w:cs="Arial"/>
          <w:sz w:val="24"/>
          <w:szCs w:val="24"/>
        </w:rPr>
        <w:t xml:space="preserve"> Normal incremental progression will apply t</w:t>
      </w:r>
      <w:r w:rsidR="005B2F05" w:rsidRPr="000855D0">
        <w:rPr>
          <w:rFonts w:ascii="Arial" w:hAnsi="Arial" w:cs="Arial"/>
          <w:sz w:val="24"/>
          <w:szCs w:val="24"/>
        </w:rPr>
        <w:t xml:space="preserve">o pay </w:t>
      </w:r>
      <w:r w:rsidR="00945D9F" w:rsidRPr="000855D0">
        <w:rPr>
          <w:rFonts w:ascii="Arial" w:hAnsi="Arial" w:cs="Arial"/>
          <w:sz w:val="24"/>
          <w:szCs w:val="24"/>
        </w:rPr>
        <w:t>grades</w:t>
      </w:r>
      <w:r w:rsidR="005B2F05" w:rsidRPr="000855D0">
        <w:rPr>
          <w:rFonts w:ascii="Arial" w:hAnsi="Arial" w:cs="Arial"/>
          <w:sz w:val="24"/>
          <w:szCs w:val="24"/>
        </w:rPr>
        <w:t>,</w:t>
      </w:r>
      <w:r w:rsidR="00945D9F" w:rsidRPr="000855D0">
        <w:rPr>
          <w:rFonts w:ascii="Arial" w:hAnsi="Arial" w:cs="Arial"/>
          <w:sz w:val="24"/>
          <w:szCs w:val="24"/>
        </w:rPr>
        <w:t xml:space="preserve"> subject to the grade bars. Performance and competence will be reviewed as set out in the Council’s Appraisal process. </w:t>
      </w:r>
    </w:p>
    <w:p w14:paraId="3BA5D5F4" w14:textId="77777777" w:rsidR="006607A1" w:rsidRPr="008D7044" w:rsidRDefault="006607A1" w:rsidP="008D70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BC313B" w:rsidRPr="00BC313B" w14:paraId="2D519ED4" w14:textId="77777777" w:rsidTr="00BC313B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40DCD20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33C84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5B5390B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45A3177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32878B3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2AB3607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D44A3ED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BC313B" w:rsidRPr="008D7044" w14:paraId="4DA65CC4" w14:textId="77777777" w:rsidTr="00BC313B">
        <w:tc>
          <w:tcPr>
            <w:tcW w:w="1606" w:type="dxa"/>
            <w:tcBorders>
              <w:left w:val="nil"/>
              <w:right w:val="nil"/>
            </w:tcBorders>
          </w:tcPr>
          <w:p w14:paraId="2F46FBCA" w14:textId="77777777" w:rsidR="00BC313B" w:rsidRDefault="00BC313B" w:rsidP="000855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13646E1" w14:textId="77777777" w:rsidR="002A4D50" w:rsidRPr="000855D0" w:rsidRDefault="002A4D50" w:rsidP="000855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A49FF0E" w14:textId="77777777" w:rsidR="00BC313B" w:rsidRPr="008D7044" w:rsidRDefault="00BC313B" w:rsidP="0008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nil"/>
              <w:right w:val="nil"/>
            </w:tcBorders>
          </w:tcPr>
          <w:p w14:paraId="73CA8357" w14:textId="77777777" w:rsidR="00BC313B" w:rsidRPr="008D7044" w:rsidRDefault="00BC313B" w:rsidP="00BC313B">
            <w:pPr>
              <w:pStyle w:val="ListParagraph"/>
              <w:ind w:left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B1D96D8" w14:textId="77777777" w:rsidR="00BC313B" w:rsidRPr="008D7044" w:rsidRDefault="00BC313B" w:rsidP="0008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tcBorders>
              <w:left w:val="nil"/>
              <w:right w:val="nil"/>
            </w:tcBorders>
          </w:tcPr>
          <w:p w14:paraId="7930A838" w14:textId="77777777" w:rsidR="00BC313B" w:rsidRPr="008D7044" w:rsidRDefault="00BC313B" w:rsidP="00BC313B">
            <w:pPr>
              <w:pStyle w:val="ListParagraph"/>
              <w:ind w:left="319" w:right="3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B25EAF" w14:textId="77777777" w:rsidR="00BC313B" w:rsidRPr="008D7044" w:rsidRDefault="00BC313B" w:rsidP="000855D0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nil"/>
              <w:right w:val="nil"/>
            </w:tcBorders>
          </w:tcPr>
          <w:p w14:paraId="07E7409C" w14:textId="77777777" w:rsidR="00BC313B" w:rsidRPr="008D7044" w:rsidRDefault="00BC313B" w:rsidP="00BC313B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D0" w:rsidRPr="008D7044" w14:paraId="412AB9AE" w14:textId="77777777" w:rsidTr="002A4D50">
        <w:tc>
          <w:tcPr>
            <w:tcW w:w="1606" w:type="dxa"/>
            <w:shd w:val="clear" w:color="auto" w:fill="E5B8B7" w:themeFill="accent2" w:themeFillTint="66"/>
          </w:tcPr>
          <w:p w14:paraId="0241989C" w14:textId="77777777"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>Level 1</w:t>
            </w:r>
          </w:p>
          <w:p w14:paraId="29883E23" w14:textId="77777777"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497A9" w14:textId="77777777"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044">
              <w:rPr>
                <w:rFonts w:ascii="Arial" w:hAnsi="Arial" w:cs="Arial"/>
                <w:b/>
                <w:sz w:val="20"/>
                <w:szCs w:val="20"/>
              </w:rPr>
              <w:t>Trainee Environmental Health Officer</w:t>
            </w:r>
          </w:p>
          <w:p w14:paraId="12FB2229" w14:textId="77777777" w:rsid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A4ACC" w14:textId="77777777"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b/>
                <w:sz w:val="20"/>
                <w:szCs w:val="20"/>
              </w:rPr>
              <w:t>Grade 6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6DF44E05" w14:textId="77777777" w:rsidR="000855D0" w:rsidRPr="008D7044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C2D69B" w:themeFill="accent3" w:themeFillTint="99"/>
          </w:tcPr>
          <w:p w14:paraId="506214D2" w14:textId="77777777"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Qualified to degree level or equivalent</w:t>
            </w:r>
          </w:p>
          <w:p w14:paraId="5DC591A2" w14:textId="77777777"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Experience of working in a busy team</w:t>
            </w:r>
          </w:p>
          <w:p w14:paraId="7F70C96B" w14:textId="77777777"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Experience of dealing with customers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24EBF859" w14:textId="77777777" w:rsidR="000855D0" w:rsidRPr="008D7044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B6DDE8" w:themeFill="accent5" w:themeFillTint="66"/>
          </w:tcPr>
          <w:p w14:paraId="0BA32628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Knowledge and understanding of environmental health practice in the areas of: food safety and integrity; public protection and well-being; health and safety; housing and community; environmental protection and sustainability.</w:t>
            </w:r>
          </w:p>
          <w:p w14:paraId="0CFB8C60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bCs/>
                <w:sz w:val="20"/>
                <w:szCs w:val="20"/>
              </w:rPr>
              <w:t>Able to interpret and apply relevant legislation, with support.</w:t>
            </w:r>
          </w:p>
          <w:p w14:paraId="2944E910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bCs/>
                <w:sz w:val="20"/>
                <w:szCs w:val="20"/>
              </w:rPr>
              <w:t>Able to carry out investigations and take appropriate action, with support.</w:t>
            </w:r>
          </w:p>
          <w:p w14:paraId="53ADC867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effectively use ICT to prepare documents, record information and input data.</w:t>
            </w:r>
          </w:p>
          <w:p w14:paraId="4CEDFD18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14:paraId="61136E37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14:paraId="41780E6B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14:paraId="35CE01ED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14:paraId="3B2CBFE2" w14:textId="77777777" w:rsidR="000855D0" w:rsidRPr="008C236C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3ECA1253" w14:textId="77777777" w:rsidR="000855D0" w:rsidRPr="008D7044" w:rsidRDefault="000855D0" w:rsidP="000855D0">
            <w:pPr>
              <w:pStyle w:val="ListParagraph"/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ABF8F" w:themeFill="accent6" w:themeFillTint="99"/>
          </w:tcPr>
          <w:p w14:paraId="692DD018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14:paraId="1D950FAC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Commitment to work towards attaining postgraduate qualification approved by the Chartered Institute of Environmental Health (CIEH).</w:t>
            </w:r>
          </w:p>
          <w:p w14:paraId="7A8702FC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14:paraId="288A8505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14:paraId="651DD3E0" w14:textId="77777777" w:rsidR="000524C5" w:rsidRDefault="000524C5" w:rsidP="000855D0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4562805" w14:textId="77777777" w:rsidR="000524C5" w:rsidRPr="000524C5" w:rsidRDefault="000524C5" w:rsidP="000524C5"/>
          <w:p w14:paraId="384A1405" w14:textId="77777777" w:rsidR="000524C5" w:rsidRPr="000524C5" w:rsidRDefault="000524C5" w:rsidP="000524C5"/>
          <w:p w14:paraId="0CEED33E" w14:textId="77777777" w:rsidR="000855D0" w:rsidRPr="000524C5" w:rsidRDefault="000855D0" w:rsidP="000524C5"/>
        </w:tc>
      </w:tr>
    </w:tbl>
    <w:p w14:paraId="1F221EFB" w14:textId="77777777"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BC313B" w14:paraId="58823042" w14:textId="77777777" w:rsidTr="00810A0F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B0B43B2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0EC8F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1F0358A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742D842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A6F2FC0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6878F13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98899D5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</w:tbl>
    <w:p w14:paraId="15823071" w14:textId="77777777"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0855D0" w14:paraId="02CE7BCC" w14:textId="77777777" w:rsidTr="002A4D50">
        <w:tc>
          <w:tcPr>
            <w:tcW w:w="1606" w:type="dxa"/>
            <w:vMerge w:val="restart"/>
            <w:shd w:val="clear" w:color="auto" w:fill="E5B8B7" w:themeFill="accent2" w:themeFillTint="66"/>
          </w:tcPr>
          <w:p w14:paraId="3E891812" w14:textId="77777777"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6D4D25" w14:textId="77777777"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Level</w:t>
            </w: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</w:t>
            </w:r>
          </w:p>
          <w:p w14:paraId="78355FC7" w14:textId="77777777"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83F3E" w14:textId="77777777"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Environmental Health Officer</w:t>
            </w:r>
          </w:p>
          <w:p w14:paraId="7B8F015D" w14:textId="77777777"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456CE" w14:textId="77777777"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Grade 7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AF2E6CA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shd w:val="clear" w:color="auto" w:fill="C2D69B" w:themeFill="accent3" w:themeFillTint="99"/>
          </w:tcPr>
          <w:p w14:paraId="638CB7EF" w14:textId="77777777" w:rsidR="002A4D50" w:rsidRPr="000855D0" w:rsidRDefault="002A4D50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Undergraduate or postgraduate degree approved by the Chartered Institute of Environmental Health (CIEH)</w:t>
            </w:r>
          </w:p>
          <w:p w14:paraId="287942E3" w14:textId="77777777" w:rsidR="002A4D50" w:rsidRPr="000855D0" w:rsidRDefault="002A4D50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Experience of working in a busy environmental health team</w:t>
            </w:r>
          </w:p>
          <w:p w14:paraId="4F07C9FE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8DCF2B5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vMerge w:val="restart"/>
            <w:shd w:val="clear" w:color="auto" w:fill="B6DDE8" w:themeFill="accent5" w:themeFillTint="66"/>
          </w:tcPr>
          <w:p w14:paraId="4F57F700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0451605"/>
            <w:r w:rsidRPr="000855D0">
              <w:rPr>
                <w:rFonts w:ascii="Arial" w:hAnsi="Arial" w:cs="Arial"/>
                <w:bCs/>
                <w:sz w:val="20"/>
                <w:szCs w:val="20"/>
              </w:rPr>
              <w:t>Good knowledge and understanding of environmental health practice in the areas of: Food safety and Integrity, Public Protection and Well-being, Health and Safety, Housing and Community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0855D0">
              <w:rPr>
                <w:rFonts w:ascii="Arial" w:hAnsi="Arial" w:cs="Arial"/>
                <w:bCs/>
                <w:sz w:val="20"/>
                <w:szCs w:val="20"/>
              </w:rPr>
              <w:t>Environmental Protection and Sustainability</w:t>
            </w:r>
          </w:p>
          <w:bookmarkEnd w:id="0"/>
          <w:p w14:paraId="7CAB8E8B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interpret and apply relevant legislation, with support where necessary.</w:t>
            </w:r>
          </w:p>
          <w:p w14:paraId="5C8858A4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carry out investigations and take appropriate action.</w:t>
            </w:r>
          </w:p>
          <w:p w14:paraId="75BD6603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tabs>
                <w:tab w:val="left" w:pos="5084"/>
              </w:tabs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effectively use ICT to prepare documents, record information and input data.</w:t>
            </w:r>
          </w:p>
          <w:p w14:paraId="7DFF8A81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14:paraId="4F717C29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14:paraId="4FB51021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14:paraId="703896A8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14:paraId="45F88E9C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  <w:p w14:paraId="6B83DFF2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14:paraId="3D33289F" w14:textId="77777777" w:rsidR="002A4D50" w:rsidRPr="000855D0" w:rsidRDefault="002A4D50" w:rsidP="000855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 w:val="restart"/>
            <w:shd w:val="clear" w:color="auto" w:fill="FABF8F" w:themeFill="accent6" w:themeFillTint="99"/>
          </w:tcPr>
          <w:p w14:paraId="6EAA3034" w14:textId="77777777"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14:paraId="12082FEF" w14:textId="77777777"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Commitment to work towards attaining Chartered Environmental Health Practitioner status (or equivalent)</w:t>
            </w:r>
          </w:p>
          <w:p w14:paraId="5F238CCF" w14:textId="77777777"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14:paraId="71DDC8BF" w14:textId="77777777"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14:paraId="646B48A3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4D50" w:rsidRPr="000855D0" w14:paraId="2DC901E1" w14:textId="77777777" w:rsidTr="002A4D50">
        <w:tc>
          <w:tcPr>
            <w:tcW w:w="1606" w:type="dxa"/>
            <w:vMerge/>
            <w:shd w:val="clear" w:color="auto" w:fill="E5B8B7" w:themeFill="accent2" w:themeFillTint="66"/>
          </w:tcPr>
          <w:p w14:paraId="466FE7C6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E1B6648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C2D69B" w:themeFill="accent3" w:themeFillTint="99"/>
          </w:tcPr>
          <w:p w14:paraId="0C2FB05A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1C8D1828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vMerge/>
            <w:shd w:val="clear" w:color="auto" w:fill="B6DDE8" w:themeFill="accent5" w:themeFillTint="66"/>
          </w:tcPr>
          <w:p w14:paraId="6BE4777E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36C9091F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  <w:shd w:val="clear" w:color="auto" w:fill="FABF8F" w:themeFill="accent6" w:themeFillTint="99"/>
          </w:tcPr>
          <w:p w14:paraId="596FB6EA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9EA89" w14:textId="77777777"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BC313B" w14:paraId="7D287953" w14:textId="77777777" w:rsidTr="00810A0F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B873C6B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lastRenderedPageBreak/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5CCFC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5B35999D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531379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81ED0F7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11435C90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042C911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</w:tbl>
    <w:p w14:paraId="14C3516D" w14:textId="77777777" w:rsidR="00B930D7" w:rsidRDefault="00B930D7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0855D0" w:rsidRPr="000855D0" w14:paraId="021FF435" w14:textId="77777777" w:rsidTr="002A4D50">
        <w:tc>
          <w:tcPr>
            <w:tcW w:w="1606" w:type="dxa"/>
            <w:shd w:val="clear" w:color="auto" w:fill="E5B8B7" w:themeFill="accent2" w:themeFillTint="66"/>
          </w:tcPr>
          <w:p w14:paraId="24178835" w14:textId="77777777"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>Level 3</w:t>
            </w:r>
          </w:p>
          <w:p w14:paraId="35D12947" w14:textId="77777777"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96255" w14:textId="77777777"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Senior Environmental Health Officer</w:t>
            </w:r>
          </w:p>
          <w:p w14:paraId="32AE330B" w14:textId="77777777" w:rsid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8F081" w14:textId="77777777"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Grade 8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065F77F5" w14:textId="77777777" w:rsidR="000855D0" w:rsidRPr="000855D0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D6E3BC" w:themeFill="accent3" w:themeFillTint="66"/>
          </w:tcPr>
          <w:p w14:paraId="1789A57C" w14:textId="77777777"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Undergraduate or postgraduate degree approved by the Chartered Institute of Environmental Health (CIEH)</w:t>
            </w:r>
          </w:p>
          <w:p w14:paraId="169E315C" w14:textId="77777777"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Environmental Health Registration Board (EHRB) Certificate of Registration or Registration as a Chartered Environmental Health Practitioner</w:t>
            </w:r>
          </w:p>
          <w:p w14:paraId="4DD84973" w14:textId="77777777"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Experience of working in a busy environmental health team</w:t>
            </w:r>
          </w:p>
          <w:p w14:paraId="7D868F00" w14:textId="77777777" w:rsidR="000855D0" w:rsidRPr="000855D0" w:rsidRDefault="000855D0" w:rsidP="000855D0">
            <w:p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2E28E51E" w14:textId="77777777" w:rsidR="000855D0" w:rsidRPr="000855D0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B6DDE8" w:themeFill="accent5" w:themeFillTint="66"/>
          </w:tcPr>
          <w:p w14:paraId="71EA7BF3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Thorough knowledge and understanding of environmental health practice in the areas of:</w:t>
            </w:r>
          </w:p>
          <w:p w14:paraId="4BA20121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Food safety and Integrity</w:t>
            </w:r>
          </w:p>
          <w:p w14:paraId="21121F8A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Public Protection and Well-being</w:t>
            </w:r>
          </w:p>
          <w:p w14:paraId="4F50AEB9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Health and Safety</w:t>
            </w:r>
          </w:p>
          <w:p w14:paraId="654BD4E2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Housing and Community</w:t>
            </w:r>
          </w:p>
          <w:p w14:paraId="2932CE99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Environmental Protection and Sustainability</w:t>
            </w:r>
          </w:p>
          <w:p w14:paraId="1D2C9E06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speak confidently with managers on a range of complex environmental health issues and manage complex matters</w:t>
            </w:r>
          </w:p>
          <w:p w14:paraId="53B708DF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work with minimal supervision in interpreting and applying relevant legislation and carrying out investigations and taking appropriate action.</w:t>
            </w:r>
          </w:p>
          <w:p w14:paraId="2FDC31CC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Effectively use ICT to prepare documents, record information and input data.</w:t>
            </w:r>
          </w:p>
          <w:p w14:paraId="2D6F3055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14:paraId="1D9E02D3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14:paraId="51DF193D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14:paraId="76D82906" w14:textId="77777777"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14:paraId="5DAAD2A6" w14:textId="77777777" w:rsidR="000855D0" w:rsidRPr="002A4D5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D6013BA" w14:textId="77777777" w:rsidR="000855D0" w:rsidRPr="000855D0" w:rsidRDefault="000855D0" w:rsidP="000855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BD4B4" w:themeFill="accent6" w:themeFillTint="66"/>
          </w:tcPr>
          <w:p w14:paraId="69E1B636" w14:textId="77777777"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14:paraId="13182856" w14:textId="77777777"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14:paraId="20D0223E" w14:textId="77777777"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14:paraId="6BBE646F" w14:textId="77777777" w:rsidR="000855D0" w:rsidRPr="000855D0" w:rsidRDefault="000855D0" w:rsidP="000855D0">
            <w:pPr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EE84EBA" w14:textId="77777777" w:rsidR="00D01928" w:rsidRPr="008D7044" w:rsidRDefault="00D01928" w:rsidP="008D704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01928" w:rsidRPr="008D7044" w:rsidSect="006607A1">
      <w:headerReference w:type="default" r:id="rId8"/>
      <w:footerReference w:type="default" r:id="rId9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694C4" w14:textId="77777777" w:rsidR="00A970B5" w:rsidRDefault="00A970B5" w:rsidP="006607A1">
      <w:pPr>
        <w:spacing w:after="0" w:line="240" w:lineRule="auto"/>
      </w:pPr>
      <w:r>
        <w:separator/>
      </w:r>
    </w:p>
  </w:endnote>
  <w:endnote w:type="continuationSeparator" w:id="0">
    <w:p w14:paraId="2CC47013" w14:textId="77777777" w:rsidR="00A970B5" w:rsidRDefault="00A970B5" w:rsidP="006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61BC" w14:textId="77777777" w:rsidR="000524C5" w:rsidRPr="000524C5" w:rsidRDefault="000524C5" w:rsidP="000524C5">
    <w:pPr>
      <w:pStyle w:val="Footer"/>
      <w:jc w:val="right"/>
      <w:rPr>
        <w:rFonts w:ascii="Arial" w:hAnsi="Arial" w:cs="Arial"/>
        <w:sz w:val="24"/>
      </w:rPr>
    </w:pPr>
    <w:r w:rsidRPr="000524C5">
      <w:rPr>
        <w:rFonts w:ascii="Arial" w:hAnsi="Arial" w:cs="Arial"/>
        <w:sz w:val="24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0F543" w14:textId="77777777" w:rsidR="00A970B5" w:rsidRDefault="00A970B5" w:rsidP="006607A1">
      <w:pPr>
        <w:spacing w:after="0" w:line="240" w:lineRule="auto"/>
      </w:pPr>
      <w:r>
        <w:separator/>
      </w:r>
    </w:p>
  </w:footnote>
  <w:footnote w:type="continuationSeparator" w:id="0">
    <w:p w14:paraId="2AF547C6" w14:textId="77777777" w:rsidR="00A970B5" w:rsidRDefault="00A970B5" w:rsidP="006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6852" w14:textId="1BB58C23" w:rsidR="006607A1" w:rsidRDefault="00F963E1" w:rsidP="006607A1">
    <w:pPr>
      <w:spacing w:after="0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CDDB88" wp14:editId="7FA96D47">
              <wp:simplePos x="0" y="0"/>
              <wp:positionH relativeFrom="column">
                <wp:posOffset>-59690</wp:posOffset>
              </wp:positionH>
              <wp:positionV relativeFrom="paragraph">
                <wp:posOffset>6985</wp:posOffset>
              </wp:positionV>
              <wp:extent cx="952500" cy="2603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C80FE" w14:textId="229720D9" w:rsidR="00F963E1" w:rsidRDefault="00F963E1">
                          <w:r>
                            <w:t>2021 VAC 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D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7pt;margin-top:.55pt;width:7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" stroked="f">
              <v:textbox>
                <w:txbxContent>
                  <w:p w14:paraId="66DC80FE" w14:textId="229720D9" w:rsidR="00F963E1" w:rsidRDefault="00F963E1">
                    <w:r>
                      <w:t>2021 VAC 72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07A1">
      <w:rPr>
        <w:noProof/>
      </w:rPr>
      <w:drawing>
        <wp:inline distT="0" distB="0" distL="0" distR="0" wp14:anchorId="723082C6" wp14:editId="4A15CE9B">
          <wp:extent cx="1819275" cy="990600"/>
          <wp:effectExtent l="0" t="0" r="9525" b="0"/>
          <wp:docPr id="4" name="Picture 4" descr="http://thehub/documents/resource-centre/Doing-your-job/Sunderland-City-Council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thehub/documents/resource-centre/Doing-your-job/Sunderland-City-Counci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2C51D" w14:textId="77777777" w:rsidR="006607A1" w:rsidRPr="00176BA1" w:rsidRDefault="006607A1" w:rsidP="006607A1">
    <w:pPr>
      <w:spacing w:after="0"/>
      <w:rPr>
        <w:rFonts w:ascii="Arial" w:hAnsi="Arial" w:cs="Arial"/>
        <w:b/>
        <w:sz w:val="32"/>
        <w:szCs w:val="40"/>
      </w:rPr>
    </w:pPr>
    <w:r w:rsidRPr="00176BA1">
      <w:rPr>
        <w:rFonts w:ascii="Arial" w:hAnsi="Arial" w:cs="Arial"/>
        <w:b/>
        <w:sz w:val="32"/>
        <w:szCs w:val="40"/>
      </w:rPr>
      <w:t xml:space="preserve">Career Progression Scheme </w:t>
    </w:r>
    <w:r>
      <w:rPr>
        <w:rFonts w:ascii="Arial" w:hAnsi="Arial" w:cs="Arial"/>
        <w:b/>
        <w:sz w:val="32"/>
        <w:szCs w:val="40"/>
      </w:rPr>
      <w:t xml:space="preserve">for </w:t>
    </w:r>
    <w:r w:rsidRPr="00176BA1">
      <w:rPr>
        <w:rFonts w:ascii="Arial" w:hAnsi="Arial" w:cs="Arial"/>
        <w:b/>
        <w:sz w:val="32"/>
        <w:szCs w:val="40"/>
      </w:rPr>
      <w:t xml:space="preserve">Environmental Health Officer </w:t>
    </w:r>
  </w:p>
  <w:p w14:paraId="14D0D3A3" w14:textId="77777777" w:rsidR="006607A1" w:rsidRDefault="0066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3AF"/>
    <w:multiLevelType w:val="hybridMultilevel"/>
    <w:tmpl w:val="F3E6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73A"/>
    <w:multiLevelType w:val="hybridMultilevel"/>
    <w:tmpl w:val="AF70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EB0"/>
    <w:multiLevelType w:val="hybridMultilevel"/>
    <w:tmpl w:val="0902E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7979"/>
    <w:multiLevelType w:val="hybridMultilevel"/>
    <w:tmpl w:val="5738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3192A"/>
    <w:multiLevelType w:val="hybridMultilevel"/>
    <w:tmpl w:val="5096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2BF0"/>
    <w:multiLevelType w:val="hybridMultilevel"/>
    <w:tmpl w:val="AA96B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51BF"/>
    <w:multiLevelType w:val="hybridMultilevel"/>
    <w:tmpl w:val="A798E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EBB"/>
    <w:multiLevelType w:val="hybridMultilevel"/>
    <w:tmpl w:val="1130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3444"/>
    <w:multiLevelType w:val="hybridMultilevel"/>
    <w:tmpl w:val="8EC8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FA4"/>
    <w:multiLevelType w:val="hybridMultilevel"/>
    <w:tmpl w:val="FAB0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21D4"/>
    <w:multiLevelType w:val="hybridMultilevel"/>
    <w:tmpl w:val="E938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17F7"/>
    <w:multiLevelType w:val="hybridMultilevel"/>
    <w:tmpl w:val="4D589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28"/>
    <w:rsid w:val="00036401"/>
    <w:rsid w:val="000524C5"/>
    <w:rsid w:val="000855D0"/>
    <w:rsid w:val="00176BA1"/>
    <w:rsid w:val="00235077"/>
    <w:rsid w:val="002A4D50"/>
    <w:rsid w:val="003E6BAC"/>
    <w:rsid w:val="005B2F05"/>
    <w:rsid w:val="005C3DC0"/>
    <w:rsid w:val="005E096D"/>
    <w:rsid w:val="00630DF5"/>
    <w:rsid w:val="006607A1"/>
    <w:rsid w:val="006612CB"/>
    <w:rsid w:val="008C236C"/>
    <w:rsid w:val="008D7044"/>
    <w:rsid w:val="00945D9F"/>
    <w:rsid w:val="00985DE0"/>
    <w:rsid w:val="00A970B5"/>
    <w:rsid w:val="00B930D7"/>
    <w:rsid w:val="00BC313B"/>
    <w:rsid w:val="00D01928"/>
    <w:rsid w:val="00EE1852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055C6"/>
  <w15:chartTrackingRefBased/>
  <w15:docId w15:val="{79F8004C-438D-4067-AF19-1153528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A1"/>
  </w:style>
  <w:style w:type="paragraph" w:styleId="Footer">
    <w:name w:val="footer"/>
    <w:basedOn w:val="Normal"/>
    <w:link w:val="FooterChar"/>
    <w:uiPriority w:val="99"/>
    <w:unhideWhenUsed/>
    <w:rsid w:val="006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A1"/>
  </w:style>
  <w:style w:type="paragraph" w:styleId="BodyTextIndent">
    <w:name w:val="Body Text Indent"/>
    <w:basedOn w:val="Normal"/>
    <w:link w:val="BodyTextIndentChar"/>
    <w:semiHidden/>
    <w:rsid w:val="000855D0"/>
    <w:pPr>
      <w:spacing w:after="0" w:line="240" w:lineRule="auto"/>
      <w:ind w:left="36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55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AF0F-01C7-4128-9F0C-EA533425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Naden</dc:creator>
  <cp:keywords/>
  <dc:description/>
  <cp:lastModifiedBy>Judy Blackett</cp:lastModifiedBy>
  <cp:revision>3</cp:revision>
  <cp:lastPrinted>2019-08-01T14:29:00Z</cp:lastPrinted>
  <dcterms:created xsi:type="dcterms:W3CDTF">2021-04-26T14:44:00Z</dcterms:created>
  <dcterms:modified xsi:type="dcterms:W3CDTF">2021-04-27T09:26:00Z</dcterms:modified>
</cp:coreProperties>
</file>