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1C2B" w14:textId="41AC2AF3" w:rsidR="00C902F4" w:rsidRPr="00C902F4" w:rsidRDefault="00C902F4" w:rsidP="00C902F4">
      <w:pPr>
        <w:pStyle w:val="Heading2"/>
      </w:pPr>
      <w:bookmarkStart w:id="0" w:name="_Toc306181694"/>
      <w:bookmarkStart w:id="1" w:name="_Toc378162555"/>
      <w:bookmarkStart w:id="2" w:name="_GoBack"/>
      <w:bookmarkEnd w:id="2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520"/>
        <w:gridCol w:w="1499"/>
        <w:gridCol w:w="598"/>
        <w:gridCol w:w="3310"/>
        <w:gridCol w:w="2648"/>
        <w:gridCol w:w="2450"/>
        <w:gridCol w:w="243"/>
      </w:tblGrid>
      <w:tr w:rsidR="00C902F4" w:rsidRPr="00DA22C5" w14:paraId="6D2B6162" w14:textId="77777777" w:rsidTr="006F1144">
        <w:trPr>
          <w:gridBefore w:val="1"/>
          <w:gridAfter w:val="1"/>
          <w:wBefore w:w="520" w:type="dxa"/>
          <w:wAfter w:w="243" w:type="dxa"/>
          <w:trHeight w:val="375"/>
        </w:trPr>
        <w:tc>
          <w:tcPr>
            <w:tcW w:w="2097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408" w:type="dxa"/>
            <w:gridSpan w:val="3"/>
          </w:tcPr>
          <w:p w14:paraId="2847FFC1" w14:textId="3F0F26C3" w:rsidR="00C902F4" w:rsidRPr="00D6475F" w:rsidRDefault="008B0214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Gainford CE (Controlled) Primary School</w:t>
            </w:r>
          </w:p>
        </w:tc>
      </w:tr>
      <w:tr w:rsidR="00C902F4" w:rsidRPr="00C902F4" w14:paraId="7AE1A5B1" w14:textId="77777777" w:rsidTr="006F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48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69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6F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60BE4854" w14:textId="77777777" w:rsidR="008B0214" w:rsidRPr="008B021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</w:t>
            </w:r>
            <w:r w:rsidR="008B0214">
              <w:rPr>
                <w:bCs/>
                <w:sz w:val="22"/>
              </w:rPr>
              <w:t>, separate to the application form,</w:t>
            </w:r>
            <w:r>
              <w:rPr>
                <w:bCs/>
                <w:sz w:val="22"/>
              </w:rPr>
              <w:t xml:space="preserve"> indicating evidence of impact in attainment and progress that has resulted in sustained improvement in pupil achievement </w:t>
            </w:r>
            <w:proofErr w:type="gramStart"/>
            <w:r w:rsidR="008B0214">
              <w:rPr>
                <w:bCs/>
                <w:sz w:val="22"/>
              </w:rPr>
              <w:t>taking into account</w:t>
            </w:r>
            <w:proofErr w:type="gramEnd"/>
            <w:r w:rsidR="008B0214">
              <w:rPr>
                <w:bCs/>
                <w:sz w:val="22"/>
              </w:rPr>
              <w:t xml:space="preserve"> the current pandemic </w:t>
            </w:r>
          </w:p>
          <w:p w14:paraId="5F39C62B" w14:textId="77777777" w:rsidR="00140EB6" w:rsidRDefault="00140EB6" w:rsidP="008B0214">
            <w:pPr>
              <w:pStyle w:val="ListParagraph"/>
              <w:ind w:left="335"/>
              <w:rPr>
                <w:bCs/>
                <w:sz w:val="22"/>
              </w:rPr>
            </w:pPr>
            <w:r>
              <w:rPr>
                <w:bCs/>
                <w:sz w:val="22"/>
              </w:rPr>
              <w:t>(No more than 1000 words)</w:t>
            </w:r>
          </w:p>
          <w:p w14:paraId="25515D27" w14:textId="4A028F21" w:rsidR="008B0214" w:rsidRPr="00BE1644" w:rsidRDefault="008B0214" w:rsidP="008B0214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48" w:type="dxa"/>
          </w:tcPr>
          <w:p w14:paraId="3D6F71CB" w14:textId="77777777" w:rsidR="00140EB6" w:rsidRPr="008B0214" w:rsidRDefault="00140EB6" w:rsidP="008B0214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14:paraId="776D3D4D" w14:textId="2C97CAA6" w:rsidR="00140EB6" w:rsidRPr="00DA22C5" w:rsidRDefault="008B021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Application form</w:t>
            </w:r>
          </w:p>
        </w:tc>
      </w:tr>
      <w:tr w:rsidR="00C902F4" w:rsidRPr="00C902F4" w14:paraId="281786D2" w14:textId="77777777" w:rsidTr="006F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519B330E" w14:textId="77777777" w:rsidR="0003739E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(Recommended)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  <w:p w14:paraId="003C4591" w14:textId="2FCFCA93" w:rsidR="008B0214" w:rsidRPr="00BE1644" w:rsidRDefault="008B0214" w:rsidP="008B0214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48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6F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1FF75E98" w14:textId="77777777" w:rsidR="00C902F4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  <w:p w14:paraId="7F16FC08" w14:textId="77777777" w:rsidR="008B0214" w:rsidRDefault="008B0214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>eaching experience in more than one Key Stage</w:t>
            </w:r>
          </w:p>
          <w:p w14:paraId="5D316C87" w14:textId="3E16786E" w:rsidR="008B0214" w:rsidRPr="00033918" w:rsidRDefault="008B0214" w:rsidP="008B0214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2648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195220FB" w:rsidR="00C902F4" w:rsidRPr="008B0214" w:rsidRDefault="00C902F4" w:rsidP="008B0214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6F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FD088A2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  <w:p w14:paraId="3BFA8B47" w14:textId="38E4E276" w:rsidR="008B0214" w:rsidRPr="00033918" w:rsidRDefault="008B0214" w:rsidP="008B0214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48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69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6F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665BA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665BA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665BA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665BA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Ability to lead by example drawing on their own and others expertise, skills and knowledge</w:t>
            </w:r>
          </w:p>
          <w:p w14:paraId="2621B0DA" w14:textId="57D3CB5B" w:rsidR="00F1399F" w:rsidRDefault="00F1399F" w:rsidP="00665BA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665BA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665BA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665BA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665BA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7B4337CA" w14:textId="2F1B0641" w:rsidR="008B0214" w:rsidRPr="008B0214" w:rsidRDefault="00F1399F" w:rsidP="008B021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  <w:p w14:paraId="2D5BA659" w14:textId="5CC02DDA" w:rsidR="008B0214" w:rsidRDefault="008B0214" w:rsidP="008B021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B0214">
              <w:rPr>
                <w:sz w:val="22"/>
              </w:rPr>
              <w:t>Knowledge or experience of the Statutory Inspection of Anglican and Methodist Schools (SIAMS)</w:t>
            </w:r>
          </w:p>
          <w:p w14:paraId="4F38968F" w14:textId="400B5F90" w:rsidR="00665BAF" w:rsidRPr="008B0214" w:rsidRDefault="00665BAF" w:rsidP="008B0214">
            <w:pPr>
              <w:rPr>
                <w:sz w:val="22"/>
              </w:rPr>
            </w:pPr>
          </w:p>
        </w:tc>
        <w:tc>
          <w:tcPr>
            <w:tcW w:w="2648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0D2C16DA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</w:t>
            </w:r>
            <w:r w:rsidR="00C465D9">
              <w:rPr>
                <w:sz w:val="22"/>
              </w:rPr>
              <w:t>2020</w:t>
            </w:r>
            <w:r>
              <w:rPr>
                <w:sz w:val="22"/>
              </w:rPr>
              <w:t>)</w:t>
            </w:r>
          </w:p>
        </w:tc>
        <w:tc>
          <w:tcPr>
            <w:tcW w:w="269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4B13F611" w:rsidR="00EA4EFA" w:rsidRPr="00DA22C5" w:rsidRDefault="00EA4EFA" w:rsidP="00CB04A1">
            <w:pPr>
              <w:rPr>
                <w:sz w:val="22"/>
              </w:rPr>
            </w:pPr>
          </w:p>
        </w:tc>
      </w:tr>
      <w:tr w:rsidR="00C902F4" w:rsidRPr="00C902F4" w14:paraId="0F94C2A9" w14:textId="77777777" w:rsidTr="006F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77777777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 guidance and support for pupils and parents</w:t>
            </w:r>
          </w:p>
          <w:p w14:paraId="6AE5274E" w14:textId="397D68A2" w:rsidR="00656320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  <w:p w14:paraId="1B23D330" w14:textId="5058D3D7" w:rsidR="008B0214" w:rsidRDefault="008B021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B0214">
              <w:rPr>
                <w:sz w:val="22"/>
              </w:rPr>
              <w:t>Ability to uphold the school’s distinctive Christian vision and associated values</w:t>
            </w:r>
          </w:p>
          <w:p w14:paraId="02E125E9" w14:textId="7AC3AE87" w:rsidR="00665BAF" w:rsidRPr="00DA22C5" w:rsidRDefault="00665BAF" w:rsidP="008B0214">
            <w:pPr>
              <w:ind w:left="360"/>
              <w:rPr>
                <w:sz w:val="22"/>
              </w:rPr>
            </w:pPr>
          </w:p>
        </w:tc>
        <w:tc>
          <w:tcPr>
            <w:tcW w:w="2648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8C458F0" w14:textId="77777777" w:rsidR="00C902F4" w:rsidRPr="00DA22C5" w:rsidRDefault="00C902F4" w:rsidP="00CB04A1">
            <w:pPr>
              <w:rPr>
                <w:sz w:val="22"/>
              </w:rPr>
            </w:pPr>
          </w:p>
        </w:tc>
      </w:tr>
    </w:tbl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5BAF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6F1144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263B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B0214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BF1261"/>
    <w:rsid w:val="00C01E5C"/>
    <w:rsid w:val="00C04685"/>
    <w:rsid w:val="00C30CD5"/>
    <w:rsid w:val="00C35390"/>
    <w:rsid w:val="00C40486"/>
    <w:rsid w:val="00C465D9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04A1"/>
    <w:rsid w:val="00CB2332"/>
    <w:rsid w:val="00CB382F"/>
    <w:rsid w:val="00CC032E"/>
    <w:rsid w:val="00CC0740"/>
    <w:rsid w:val="00CE7B63"/>
    <w:rsid w:val="00CF3410"/>
    <w:rsid w:val="00CF44B2"/>
    <w:rsid w:val="00D04CD4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B68BD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00995-C21B-4B9B-BD8A-8505B6B58A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E40190C-DDDE-41B6-BF97-AE52905A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3704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2020-11-13T11:42:00Z</dcterms:created>
  <dcterms:modified xsi:type="dcterms:W3CDTF">2020-11-13T11:42:00Z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