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8D" w:rsidRPr="00392678" w:rsidRDefault="0061168D" w:rsidP="00392678">
      <w:pPr>
        <w:spacing w:after="0" w:line="240" w:lineRule="auto"/>
        <w:rPr>
          <w:rFonts w:eastAsia="Times New Roman" w:cs="Arial"/>
          <w:b/>
          <w:szCs w:val="24"/>
          <w:lang w:eastAsia="en-GB"/>
        </w:rPr>
      </w:pPr>
      <w:r w:rsidRPr="00392678">
        <w:rPr>
          <w:rFonts w:eastAsia="Times New Roman" w:cs="Arial"/>
          <w:b/>
          <w:szCs w:val="24"/>
          <w:lang w:eastAsia="en-GB"/>
        </w:rPr>
        <w:t>Infrastructure and Transportation</w:t>
      </w:r>
    </w:p>
    <w:p w:rsidR="0061168D" w:rsidRPr="00392678" w:rsidRDefault="0061168D" w:rsidP="00392678">
      <w:pPr>
        <w:spacing w:after="0" w:line="240" w:lineRule="auto"/>
        <w:rPr>
          <w:rFonts w:eastAsia="Times New Roman" w:cs="Arial"/>
          <w:b/>
          <w:szCs w:val="24"/>
          <w:lang w:eastAsia="en-GB"/>
        </w:rPr>
      </w:pPr>
    </w:p>
    <w:p w:rsidR="0061168D" w:rsidRPr="00392678" w:rsidRDefault="0061168D" w:rsidP="00392678">
      <w:pPr>
        <w:spacing w:after="0" w:line="240" w:lineRule="auto"/>
        <w:rPr>
          <w:rFonts w:eastAsia="Times New Roman" w:cs="Arial"/>
          <w:b/>
          <w:szCs w:val="24"/>
          <w:lang w:eastAsia="en-GB"/>
        </w:rPr>
      </w:pPr>
      <w:proofErr w:type="gramStart"/>
      <w:r w:rsidRPr="00392678">
        <w:rPr>
          <w:rFonts w:eastAsia="Times New Roman" w:cs="Arial"/>
          <w:b/>
          <w:szCs w:val="24"/>
          <w:lang w:eastAsia="en-GB"/>
        </w:rPr>
        <w:t>Technician Progression Rules.</w:t>
      </w:r>
      <w:proofErr w:type="gramEnd"/>
    </w:p>
    <w:p w:rsidR="0061168D" w:rsidRPr="00392678" w:rsidRDefault="0061168D" w:rsidP="00392678">
      <w:pPr>
        <w:spacing w:after="0" w:line="240" w:lineRule="auto"/>
        <w:rPr>
          <w:rFonts w:eastAsia="Times New Roman" w:cs="Arial"/>
          <w:szCs w:val="24"/>
          <w:lang w:eastAsia="en-GB"/>
        </w:rPr>
      </w:pPr>
    </w:p>
    <w:p w:rsidR="0061168D" w:rsidRPr="0061168D" w:rsidRDefault="0061168D" w:rsidP="00392678">
      <w:pPr>
        <w:spacing w:after="0" w:line="240" w:lineRule="auto"/>
        <w:jc w:val="both"/>
        <w:rPr>
          <w:rFonts w:eastAsia="Times New Roman" w:cs="Arial"/>
          <w:szCs w:val="24"/>
          <w:lang w:eastAsia="en-GB"/>
        </w:rPr>
      </w:pPr>
      <w:r w:rsidRPr="00392678">
        <w:rPr>
          <w:rFonts w:eastAsia="Times New Roman" w:cs="Arial"/>
          <w:szCs w:val="24"/>
          <w:lang w:eastAsia="en-GB"/>
        </w:rPr>
        <w:t xml:space="preserve">All technician posts within Infrastructure and Transportation are based on a career progression scheme, </w:t>
      </w:r>
      <w:r w:rsidRPr="0061168D">
        <w:rPr>
          <w:rFonts w:eastAsia="Times New Roman" w:cs="Arial"/>
          <w:szCs w:val="24"/>
          <w:lang w:eastAsia="en-GB"/>
        </w:rPr>
        <w:t xml:space="preserve">to help develop staff, particularly those younger members of staff that as yet do not possess the necessary skills and knowledge to operate at a higher level. </w:t>
      </w:r>
      <w:r w:rsidRPr="00392678">
        <w:rPr>
          <w:rFonts w:eastAsia="Times New Roman" w:cs="Arial"/>
          <w:szCs w:val="24"/>
          <w:lang w:eastAsia="en-GB"/>
        </w:rPr>
        <w:t>H</w:t>
      </w:r>
      <w:r w:rsidRPr="0061168D">
        <w:rPr>
          <w:rFonts w:eastAsia="Times New Roman" w:cs="Arial"/>
          <w:szCs w:val="24"/>
          <w:lang w:eastAsia="en-GB"/>
        </w:rPr>
        <w:t>elp</w:t>
      </w:r>
      <w:r w:rsidRPr="00392678">
        <w:rPr>
          <w:rFonts w:eastAsia="Times New Roman" w:cs="Arial"/>
          <w:szCs w:val="24"/>
          <w:lang w:eastAsia="en-GB"/>
        </w:rPr>
        <w:t>ing</w:t>
      </w:r>
      <w:r w:rsidRPr="0061168D">
        <w:rPr>
          <w:rFonts w:eastAsia="Times New Roman" w:cs="Arial"/>
          <w:szCs w:val="24"/>
          <w:lang w:eastAsia="en-GB"/>
        </w:rPr>
        <w:t xml:space="preserve"> these staff members to develop the fundamental engineering skills</w:t>
      </w:r>
      <w:r w:rsidR="00392678">
        <w:rPr>
          <w:rFonts w:eastAsia="Times New Roman" w:cs="Arial"/>
          <w:szCs w:val="24"/>
          <w:lang w:eastAsia="en-GB"/>
        </w:rPr>
        <w:t xml:space="preserve"> required</w:t>
      </w:r>
      <w:r w:rsidRPr="0061168D">
        <w:rPr>
          <w:rFonts w:eastAsia="Times New Roman" w:cs="Arial"/>
          <w:szCs w:val="24"/>
          <w:lang w:eastAsia="en-GB"/>
        </w:rPr>
        <w:t xml:space="preserve"> to enable progression into higher graded engineer roles and above.  The service values the development of people and of internal expertise which assists service delivery, succession planning, expands employment opportunities and gives a degree of business continuity. </w:t>
      </w:r>
    </w:p>
    <w:p w:rsidR="0061168D" w:rsidRPr="0061168D" w:rsidRDefault="0061168D" w:rsidP="00392678">
      <w:pPr>
        <w:spacing w:after="0" w:line="240" w:lineRule="auto"/>
        <w:jc w:val="both"/>
        <w:rPr>
          <w:rFonts w:eastAsia="Times New Roman" w:cs="Arial"/>
          <w:szCs w:val="24"/>
          <w:lang w:eastAsia="en-GB"/>
        </w:rPr>
      </w:pPr>
    </w:p>
    <w:p w:rsidR="0061168D" w:rsidRPr="0061168D" w:rsidRDefault="0061168D" w:rsidP="00392678">
      <w:pPr>
        <w:spacing w:after="0" w:line="240" w:lineRule="auto"/>
        <w:jc w:val="both"/>
        <w:rPr>
          <w:rFonts w:eastAsia="Times New Roman" w:cs="Times New Roman"/>
          <w:szCs w:val="24"/>
          <w:lang w:eastAsia="en-GB"/>
        </w:rPr>
      </w:pPr>
      <w:r w:rsidRPr="0061168D">
        <w:rPr>
          <w:rFonts w:eastAsia="Times New Roman" w:cs="Times New Roman"/>
          <w:szCs w:val="24"/>
          <w:lang w:eastAsia="en-GB"/>
        </w:rPr>
        <w:t xml:space="preserve">The </w:t>
      </w:r>
      <w:r w:rsidRPr="00392678">
        <w:rPr>
          <w:rFonts w:eastAsia="Times New Roman" w:cs="Times New Roman"/>
          <w:szCs w:val="24"/>
          <w:lang w:eastAsia="en-GB"/>
        </w:rPr>
        <w:t xml:space="preserve">scheme recognises </w:t>
      </w:r>
      <w:r w:rsidRPr="0061168D">
        <w:rPr>
          <w:rFonts w:eastAsia="Times New Roman" w:cs="Times New Roman"/>
          <w:szCs w:val="24"/>
          <w:lang w:eastAsia="en-GB"/>
        </w:rPr>
        <w:t>that, recruitment to any technician post within the Infrastructure and Transportation Directorate can be at either grade 2, 4 or 6 based on qualifications, length of experience set out in years and meeting required competencies.</w:t>
      </w:r>
    </w:p>
    <w:p w:rsidR="0061168D" w:rsidRPr="0061168D" w:rsidRDefault="0061168D" w:rsidP="00392678">
      <w:pPr>
        <w:spacing w:after="0" w:line="240" w:lineRule="auto"/>
        <w:jc w:val="both"/>
        <w:rPr>
          <w:rFonts w:eastAsia="Times New Roman" w:cs="Times New Roman"/>
          <w:szCs w:val="24"/>
          <w:lang w:eastAsia="en-GB"/>
        </w:rPr>
      </w:pPr>
    </w:p>
    <w:p w:rsidR="0061168D" w:rsidRPr="0061168D" w:rsidRDefault="0061168D" w:rsidP="00392678">
      <w:pPr>
        <w:tabs>
          <w:tab w:val="left" w:pos="45"/>
        </w:tabs>
        <w:spacing w:after="0" w:line="240" w:lineRule="auto"/>
        <w:jc w:val="both"/>
        <w:rPr>
          <w:rFonts w:eastAsia="Times New Roman" w:cs="Times New Roman"/>
          <w:szCs w:val="24"/>
          <w:lang w:eastAsia="en-GB"/>
        </w:rPr>
      </w:pPr>
      <w:r w:rsidRPr="0061168D">
        <w:rPr>
          <w:rFonts w:eastAsia="Times New Roman" w:cs="Times New Roman"/>
          <w:szCs w:val="24"/>
          <w:lang w:eastAsia="en-GB"/>
        </w:rPr>
        <w:t xml:space="preserve">Technicians would </w:t>
      </w:r>
      <w:r w:rsidR="00392678">
        <w:rPr>
          <w:rFonts w:eastAsia="Times New Roman" w:cs="Times New Roman"/>
          <w:szCs w:val="24"/>
          <w:lang w:eastAsia="en-GB"/>
        </w:rPr>
        <w:t xml:space="preserve">then </w:t>
      </w:r>
      <w:r w:rsidRPr="0061168D">
        <w:rPr>
          <w:rFonts w:eastAsia="Times New Roman" w:cs="Times New Roman"/>
          <w:szCs w:val="24"/>
          <w:lang w:eastAsia="en-GB"/>
        </w:rPr>
        <w:t>progress through the normal S</w:t>
      </w:r>
      <w:r w:rsidR="00392678">
        <w:rPr>
          <w:rFonts w:eastAsia="Times New Roman" w:cs="Times New Roman"/>
          <w:szCs w:val="24"/>
          <w:lang w:eastAsia="en-GB"/>
        </w:rPr>
        <w:t xml:space="preserve">pinal </w:t>
      </w:r>
      <w:r w:rsidRPr="0061168D">
        <w:rPr>
          <w:rFonts w:eastAsia="Times New Roman" w:cs="Times New Roman"/>
          <w:szCs w:val="24"/>
          <w:lang w:eastAsia="en-GB"/>
        </w:rPr>
        <w:t>C</w:t>
      </w:r>
      <w:r w:rsidR="00392678">
        <w:rPr>
          <w:rFonts w:eastAsia="Times New Roman" w:cs="Times New Roman"/>
          <w:szCs w:val="24"/>
          <w:lang w:eastAsia="en-GB"/>
        </w:rPr>
        <w:t xml:space="preserve">olumn </w:t>
      </w:r>
      <w:r w:rsidRPr="0061168D">
        <w:rPr>
          <w:rFonts w:eastAsia="Times New Roman" w:cs="Times New Roman"/>
          <w:szCs w:val="24"/>
          <w:lang w:eastAsia="en-GB"/>
        </w:rPr>
        <w:t>P</w:t>
      </w:r>
      <w:r w:rsidR="00392678">
        <w:rPr>
          <w:rFonts w:eastAsia="Times New Roman" w:cs="Times New Roman"/>
          <w:szCs w:val="24"/>
          <w:lang w:eastAsia="en-GB"/>
        </w:rPr>
        <w:t>oint</w:t>
      </w:r>
      <w:r w:rsidRPr="0061168D">
        <w:rPr>
          <w:rFonts w:eastAsia="Times New Roman" w:cs="Times New Roman"/>
          <w:szCs w:val="24"/>
          <w:lang w:eastAsia="en-GB"/>
        </w:rPr>
        <w:t xml:space="preserve"> until they reached top of Grade. At that time there would be an opportunity for them to progress to the next level if they could demonstrate that they had achieved certain milestones in terms of experience gained, qualifications reached etc. This would be evidence based following completion of a recognised training course such as the Higher National Certificate in Civil Engineering (HNC) or equivalent and / or through a demonstration of work based competency. If successful technicians moving onto the next grade would also be matched to the role profile associated with that grade i.e. RT2, RT3 or RT4S.</w:t>
      </w:r>
    </w:p>
    <w:p w:rsidR="0061168D" w:rsidRPr="0061168D" w:rsidRDefault="0061168D" w:rsidP="00392678">
      <w:pPr>
        <w:tabs>
          <w:tab w:val="left" w:pos="45"/>
        </w:tabs>
        <w:spacing w:after="0" w:line="240" w:lineRule="auto"/>
        <w:jc w:val="both"/>
        <w:rPr>
          <w:rFonts w:eastAsia="Times New Roman" w:cs="Times New Roman"/>
          <w:szCs w:val="24"/>
          <w:lang w:eastAsia="en-GB"/>
        </w:rPr>
      </w:pPr>
    </w:p>
    <w:p w:rsidR="0061168D" w:rsidRPr="0061168D" w:rsidRDefault="0061168D" w:rsidP="00392678">
      <w:pPr>
        <w:spacing w:after="0" w:line="240" w:lineRule="auto"/>
        <w:jc w:val="both"/>
        <w:rPr>
          <w:rFonts w:eastAsia="Times New Roman" w:cs="Arial"/>
          <w:b/>
          <w:szCs w:val="24"/>
          <w:lang w:eastAsia="en-GB"/>
        </w:rPr>
      </w:pPr>
      <w:r w:rsidRPr="0061168D">
        <w:rPr>
          <w:rFonts w:eastAsia="Times New Roman" w:cs="Arial"/>
          <w:b/>
          <w:szCs w:val="24"/>
          <w:lang w:eastAsia="en-GB"/>
        </w:rPr>
        <w:t>Career Progression Scheme Assessment</w:t>
      </w:r>
    </w:p>
    <w:p w:rsidR="0061168D" w:rsidRPr="0061168D" w:rsidRDefault="0061168D" w:rsidP="00392678">
      <w:pPr>
        <w:spacing w:after="0" w:line="240" w:lineRule="auto"/>
        <w:jc w:val="both"/>
        <w:rPr>
          <w:rFonts w:eastAsia="Times New Roman" w:cs="Arial"/>
          <w:szCs w:val="24"/>
          <w:lang w:eastAsia="en-GB"/>
        </w:rPr>
      </w:pPr>
    </w:p>
    <w:p w:rsidR="0061168D" w:rsidRPr="0061168D" w:rsidRDefault="0061168D" w:rsidP="00392678">
      <w:pPr>
        <w:spacing w:after="0" w:line="240" w:lineRule="auto"/>
        <w:jc w:val="both"/>
        <w:rPr>
          <w:rFonts w:eastAsia="Times New Roman" w:cs="Times New Roman"/>
          <w:bCs/>
          <w:szCs w:val="24"/>
          <w:lang w:eastAsia="en-GB"/>
        </w:rPr>
      </w:pPr>
      <w:r w:rsidRPr="00392678">
        <w:rPr>
          <w:rFonts w:eastAsia="Times New Roman" w:cs="Times New Roman"/>
          <w:bCs/>
          <w:szCs w:val="24"/>
          <w:lang w:eastAsia="en-GB"/>
        </w:rPr>
        <w:t>The following section details how the career progression sc</w:t>
      </w:r>
      <w:r w:rsidR="00392678">
        <w:rPr>
          <w:rFonts w:eastAsia="Times New Roman" w:cs="Times New Roman"/>
          <w:bCs/>
          <w:szCs w:val="24"/>
          <w:lang w:eastAsia="en-GB"/>
        </w:rPr>
        <w:t>heme</w:t>
      </w:r>
      <w:r w:rsidRPr="00392678">
        <w:rPr>
          <w:rFonts w:eastAsia="Times New Roman" w:cs="Times New Roman"/>
          <w:bCs/>
          <w:szCs w:val="24"/>
          <w:lang w:eastAsia="en-GB"/>
        </w:rPr>
        <w:t xml:space="preserve"> </w:t>
      </w:r>
      <w:r w:rsidR="00392678">
        <w:rPr>
          <w:rFonts w:eastAsia="Times New Roman" w:cs="Times New Roman"/>
          <w:bCs/>
          <w:szCs w:val="24"/>
          <w:lang w:eastAsia="en-GB"/>
        </w:rPr>
        <w:t>is</w:t>
      </w:r>
      <w:r w:rsidRPr="00392678">
        <w:rPr>
          <w:rFonts w:eastAsia="Times New Roman" w:cs="Times New Roman"/>
          <w:bCs/>
          <w:szCs w:val="24"/>
          <w:lang w:eastAsia="en-GB"/>
        </w:rPr>
        <w:t xml:space="preserve"> operated and monitored to ensure each technician is treated equally and fairly when assessed for advancement.</w:t>
      </w:r>
      <w:r w:rsidR="00392678">
        <w:rPr>
          <w:rFonts w:eastAsia="Times New Roman" w:cs="Times New Roman"/>
          <w:bCs/>
          <w:szCs w:val="24"/>
          <w:lang w:eastAsia="en-GB"/>
        </w:rPr>
        <w:t xml:space="preserve"> </w:t>
      </w:r>
      <w:proofErr w:type="gramStart"/>
      <w:r w:rsidR="00392678">
        <w:rPr>
          <w:rFonts w:eastAsia="Times New Roman" w:cs="Times New Roman"/>
          <w:bCs/>
          <w:szCs w:val="24"/>
          <w:lang w:eastAsia="en-GB"/>
        </w:rPr>
        <w:t>G</w:t>
      </w:r>
      <w:r w:rsidRPr="0061168D">
        <w:rPr>
          <w:rFonts w:eastAsia="Times New Roman" w:cs="Times New Roman"/>
          <w:szCs w:val="24"/>
          <w:lang w:eastAsia="en-GB"/>
        </w:rPr>
        <w:t>uided by the matching strengths set out in the Job Profile Guidance and qualifications.</w:t>
      </w:r>
      <w:proofErr w:type="gramEnd"/>
    </w:p>
    <w:p w:rsidR="0061168D" w:rsidRPr="0061168D" w:rsidRDefault="0061168D" w:rsidP="00392678">
      <w:pPr>
        <w:tabs>
          <w:tab w:val="left" w:pos="45"/>
        </w:tabs>
        <w:spacing w:after="0" w:line="240" w:lineRule="auto"/>
        <w:jc w:val="both"/>
        <w:rPr>
          <w:rFonts w:eastAsia="Times New Roman" w:cs="Times New Roman"/>
          <w:szCs w:val="24"/>
          <w:lang w:eastAsia="en-GB"/>
        </w:rPr>
      </w:pPr>
    </w:p>
    <w:p w:rsidR="0061168D" w:rsidRPr="0061168D" w:rsidRDefault="00392678" w:rsidP="00392678">
      <w:pPr>
        <w:spacing w:after="0" w:line="240" w:lineRule="auto"/>
        <w:jc w:val="both"/>
        <w:rPr>
          <w:rFonts w:eastAsia="Times New Roman" w:cs="Arial"/>
          <w:b/>
          <w:szCs w:val="24"/>
          <w:lang w:eastAsia="en-GB"/>
        </w:rPr>
      </w:pPr>
      <w:r w:rsidRPr="001927F9">
        <w:rPr>
          <w:rFonts w:eastAsia="Times New Roman" w:cs="Arial"/>
          <w:b/>
          <w:szCs w:val="24"/>
          <w:lang w:eastAsia="en-GB"/>
        </w:rPr>
        <w:t>Base Criteria</w:t>
      </w:r>
    </w:p>
    <w:p w:rsidR="0061168D" w:rsidRPr="0061168D" w:rsidRDefault="0061168D" w:rsidP="00392678">
      <w:pPr>
        <w:spacing w:after="0" w:line="240" w:lineRule="auto"/>
        <w:jc w:val="both"/>
        <w:rPr>
          <w:rFonts w:eastAsia="Times New Roman" w:cs="Arial"/>
          <w:szCs w:val="24"/>
          <w:lang w:eastAsia="en-GB"/>
        </w:rPr>
      </w:pPr>
    </w:p>
    <w:tbl>
      <w:tblPr>
        <w:tblW w:w="9762" w:type="dxa"/>
        <w:jc w:val="center"/>
        <w:tblCellMar>
          <w:left w:w="0" w:type="dxa"/>
          <w:right w:w="0" w:type="dxa"/>
        </w:tblCellMar>
        <w:tblLook w:val="04A0" w:firstRow="1" w:lastRow="0" w:firstColumn="1" w:lastColumn="0" w:noHBand="0" w:noVBand="1"/>
      </w:tblPr>
      <w:tblGrid>
        <w:gridCol w:w="964"/>
        <w:gridCol w:w="2126"/>
        <w:gridCol w:w="6672"/>
      </w:tblGrid>
      <w:tr w:rsidR="001927F9" w:rsidRPr="001927F9" w:rsidTr="001927F9">
        <w:trPr>
          <w:trHeight w:val="567"/>
          <w:jc w:val="center"/>
        </w:trPr>
        <w:tc>
          <w:tcPr>
            <w:tcW w:w="964"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61168D" w:rsidRPr="0061168D" w:rsidRDefault="0061168D" w:rsidP="0061168D">
            <w:pPr>
              <w:spacing w:after="0" w:line="240" w:lineRule="auto"/>
              <w:rPr>
                <w:rFonts w:ascii="Times New Roman" w:eastAsia="Calibri" w:hAnsi="Times New Roman" w:cs="Times New Roman"/>
                <w:sz w:val="22"/>
                <w:lang w:eastAsia="en-GB"/>
              </w:rPr>
            </w:pPr>
            <w:r w:rsidRPr="0061168D">
              <w:rPr>
                <w:rFonts w:eastAsia="Calibri" w:cs="Arial"/>
                <w:b/>
                <w:bCs/>
                <w:sz w:val="22"/>
                <w:lang w:eastAsia="en-GB"/>
              </w:rPr>
              <w:t>Grade</w:t>
            </w:r>
          </w:p>
        </w:tc>
        <w:tc>
          <w:tcPr>
            <w:tcW w:w="2126"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61168D" w:rsidRPr="0061168D" w:rsidRDefault="0061168D" w:rsidP="0061168D">
            <w:pPr>
              <w:spacing w:after="0" w:line="240" w:lineRule="auto"/>
              <w:rPr>
                <w:rFonts w:ascii="Times New Roman" w:eastAsia="Calibri" w:hAnsi="Times New Roman" w:cs="Times New Roman"/>
                <w:sz w:val="22"/>
                <w:lang w:eastAsia="en-GB"/>
              </w:rPr>
            </w:pPr>
            <w:r w:rsidRPr="0061168D">
              <w:rPr>
                <w:rFonts w:eastAsia="Calibri" w:cs="Arial"/>
                <w:b/>
                <w:bCs/>
                <w:sz w:val="22"/>
                <w:lang w:eastAsia="en-GB"/>
              </w:rPr>
              <w:t>Matching Criteria</w:t>
            </w:r>
          </w:p>
        </w:tc>
        <w:tc>
          <w:tcPr>
            <w:tcW w:w="6672"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61168D" w:rsidRPr="0061168D" w:rsidRDefault="0061168D" w:rsidP="0061168D">
            <w:pPr>
              <w:spacing w:after="0" w:line="240" w:lineRule="auto"/>
              <w:rPr>
                <w:rFonts w:ascii="Times New Roman" w:eastAsia="Calibri" w:hAnsi="Times New Roman" w:cs="Times New Roman"/>
                <w:sz w:val="22"/>
                <w:lang w:eastAsia="en-GB"/>
              </w:rPr>
            </w:pPr>
            <w:r w:rsidRPr="0061168D">
              <w:rPr>
                <w:rFonts w:eastAsia="Calibri" w:cs="Arial"/>
                <w:b/>
                <w:bCs/>
                <w:sz w:val="22"/>
                <w:lang w:eastAsia="en-GB"/>
              </w:rPr>
              <w:t>Evidence</w:t>
            </w:r>
          </w:p>
        </w:tc>
      </w:tr>
      <w:tr w:rsidR="001927F9" w:rsidRPr="001927F9" w:rsidTr="001927F9">
        <w:trPr>
          <w:trHeight w:val="567"/>
          <w:jc w:val="center"/>
        </w:trPr>
        <w:tc>
          <w:tcPr>
            <w:tcW w:w="96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61168D" w:rsidRPr="0061168D" w:rsidRDefault="0061168D" w:rsidP="00392678">
            <w:pPr>
              <w:spacing w:after="0" w:line="240" w:lineRule="auto"/>
              <w:rPr>
                <w:rFonts w:ascii="Times New Roman" w:eastAsia="Calibri" w:hAnsi="Times New Roman" w:cs="Times New Roman"/>
                <w:sz w:val="22"/>
                <w:lang w:eastAsia="en-GB"/>
              </w:rPr>
            </w:pPr>
            <w:r w:rsidRPr="0061168D">
              <w:rPr>
                <w:rFonts w:eastAsia="Calibri" w:cs="Arial"/>
                <w:sz w:val="22"/>
                <w:lang w:eastAsia="en-GB"/>
              </w:rPr>
              <w:t>Grade 2</w:t>
            </w:r>
          </w:p>
          <w:p w:rsidR="0061168D" w:rsidRPr="0061168D" w:rsidRDefault="0061168D" w:rsidP="00392678">
            <w:pPr>
              <w:spacing w:after="0" w:line="240" w:lineRule="auto"/>
              <w:rPr>
                <w:rFonts w:ascii="Times New Roman" w:eastAsia="Calibri" w:hAnsi="Times New Roman" w:cs="Times New Roman"/>
                <w:sz w:val="22"/>
                <w:lang w:eastAsia="en-GB"/>
              </w:rPr>
            </w:pPr>
            <w:r w:rsidRPr="0061168D">
              <w:rPr>
                <w:rFonts w:eastAsia="Calibri" w:cs="Arial"/>
                <w:sz w:val="22"/>
                <w:lang w:eastAsia="en-GB"/>
              </w:rPr>
              <w:t> </w:t>
            </w:r>
          </w:p>
        </w:tc>
        <w:tc>
          <w:tcPr>
            <w:tcW w:w="2126" w:type="dxa"/>
            <w:tcBorders>
              <w:top w:val="nil"/>
              <w:left w:val="nil"/>
              <w:bottom w:val="single" w:sz="8" w:space="0" w:color="auto"/>
              <w:right w:val="single" w:sz="8" w:space="0" w:color="auto"/>
            </w:tcBorders>
            <w:tcMar>
              <w:top w:w="28" w:type="dxa"/>
              <w:left w:w="28" w:type="dxa"/>
              <w:bottom w:w="28" w:type="dxa"/>
              <w:right w:w="28" w:type="dxa"/>
            </w:tcMar>
            <w:vAlign w:val="center"/>
          </w:tcPr>
          <w:p w:rsidR="0061168D" w:rsidRPr="0061168D" w:rsidRDefault="0061168D" w:rsidP="001927F9">
            <w:pPr>
              <w:spacing w:after="0" w:line="240" w:lineRule="auto"/>
              <w:rPr>
                <w:rFonts w:ascii="Times New Roman" w:eastAsia="Calibri" w:hAnsi="Times New Roman" w:cs="Times New Roman"/>
                <w:sz w:val="22"/>
                <w:lang w:eastAsia="en-GB"/>
              </w:rPr>
            </w:pPr>
            <w:r w:rsidRPr="0061168D">
              <w:rPr>
                <w:rFonts w:eastAsia="Times New Roman" w:cs="Arial"/>
                <w:sz w:val="22"/>
                <w:lang w:eastAsia="en-GB"/>
              </w:rPr>
              <w:t xml:space="preserve">As set out in </w:t>
            </w:r>
            <w:r w:rsidR="001927F9" w:rsidRPr="001927F9">
              <w:rPr>
                <w:rFonts w:eastAsia="Times New Roman" w:cs="Arial"/>
                <w:sz w:val="22"/>
                <w:lang w:eastAsia="en-GB"/>
              </w:rPr>
              <w:t xml:space="preserve">career progression </w:t>
            </w:r>
            <w:r w:rsidRPr="0061168D">
              <w:rPr>
                <w:rFonts w:eastAsia="Times New Roman" w:cs="Arial"/>
                <w:sz w:val="22"/>
                <w:lang w:eastAsia="en-GB"/>
              </w:rPr>
              <w:t xml:space="preserve">matrix </w:t>
            </w:r>
            <w:proofErr w:type="spellStart"/>
            <w:r w:rsidRPr="0061168D">
              <w:rPr>
                <w:rFonts w:eastAsia="Times New Roman" w:cs="Arial"/>
                <w:sz w:val="22"/>
                <w:lang w:eastAsia="en-GB"/>
              </w:rPr>
              <w:t>in</w:t>
            </w:r>
            <w:r w:rsidR="001927F9" w:rsidRPr="001927F9">
              <w:rPr>
                <w:rFonts w:eastAsia="Calibri" w:cs="Arial"/>
                <w:sz w:val="22"/>
                <w:lang w:eastAsia="en-GB"/>
              </w:rPr>
              <w:t>below</w:t>
            </w:r>
            <w:proofErr w:type="spellEnd"/>
          </w:p>
        </w:tc>
        <w:tc>
          <w:tcPr>
            <w:tcW w:w="667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61168D" w:rsidRPr="0061168D" w:rsidRDefault="0061168D" w:rsidP="00392678">
            <w:pPr>
              <w:spacing w:after="0" w:line="240" w:lineRule="auto"/>
              <w:rPr>
                <w:rFonts w:eastAsia="Calibri" w:cs="Arial"/>
                <w:sz w:val="22"/>
                <w:lang w:eastAsia="en-GB"/>
              </w:rPr>
            </w:pPr>
            <w:r w:rsidRPr="0061168D">
              <w:rPr>
                <w:rFonts w:eastAsia="Calibri" w:cs="Arial"/>
                <w:sz w:val="22"/>
                <w:lang w:eastAsia="en-GB"/>
              </w:rPr>
              <w:t>Requirement to be numerate and literate with an engineering ability usually measured by: -appropriate A levels, NVQ/ BTEC level 3, ONC/OND or through demonstration of work based competence, completion of a minimum period of 2 years civil engineering apprenticeship.</w:t>
            </w:r>
          </w:p>
        </w:tc>
      </w:tr>
      <w:tr w:rsidR="001927F9" w:rsidRPr="001927F9" w:rsidTr="001927F9">
        <w:trPr>
          <w:trHeight w:val="567"/>
          <w:jc w:val="center"/>
        </w:trPr>
        <w:tc>
          <w:tcPr>
            <w:tcW w:w="96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61168D" w:rsidRPr="0061168D" w:rsidRDefault="0061168D" w:rsidP="00392678">
            <w:pPr>
              <w:spacing w:after="0" w:line="240" w:lineRule="auto"/>
              <w:rPr>
                <w:rFonts w:ascii="Times New Roman" w:eastAsia="Calibri" w:hAnsi="Times New Roman" w:cs="Times New Roman"/>
                <w:sz w:val="22"/>
                <w:lang w:eastAsia="en-GB"/>
              </w:rPr>
            </w:pPr>
            <w:r w:rsidRPr="0061168D">
              <w:rPr>
                <w:rFonts w:eastAsia="Calibri" w:cs="Arial"/>
                <w:sz w:val="22"/>
                <w:lang w:eastAsia="en-GB"/>
              </w:rPr>
              <w:t>Grade 4</w:t>
            </w:r>
          </w:p>
          <w:p w:rsidR="0061168D" w:rsidRPr="0061168D" w:rsidRDefault="0061168D" w:rsidP="00392678">
            <w:pPr>
              <w:spacing w:after="0" w:line="240" w:lineRule="auto"/>
              <w:rPr>
                <w:rFonts w:ascii="Times New Roman" w:eastAsia="Calibri" w:hAnsi="Times New Roman" w:cs="Times New Roman"/>
                <w:sz w:val="22"/>
                <w:lang w:eastAsia="en-GB"/>
              </w:rPr>
            </w:pPr>
          </w:p>
        </w:tc>
        <w:tc>
          <w:tcPr>
            <w:tcW w:w="2126" w:type="dxa"/>
            <w:tcBorders>
              <w:top w:val="nil"/>
              <w:left w:val="nil"/>
              <w:bottom w:val="single" w:sz="8" w:space="0" w:color="auto"/>
              <w:right w:val="single" w:sz="8" w:space="0" w:color="auto"/>
            </w:tcBorders>
            <w:tcMar>
              <w:top w:w="28" w:type="dxa"/>
              <w:left w:w="28" w:type="dxa"/>
              <w:bottom w:w="28" w:type="dxa"/>
              <w:right w:w="28" w:type="dxa"/>
            </w:tcMar>
            <w:vAlign w:val="center"/>
          </w:tcPr>
          <w:p w:rsidR="0061168D" w:rsidRPr="0061168D" w:rsidRDefault="001927F9" w:rsidP="001927F9">
            <w:pPr>
              <w:spacing w:after="0" w:line="240" w:lineRule="auto"/>
              <w:rPr>
                <w:rFonts w:ascii="Times New Roman" w:eastAsia="Calibri" w:hAnsi="Times New Roman" w:cs="Times New Roman"/>
                <w:sz w:val="22"/>
                <w:lang w:eastAsia="en-GB"/>
              </w:rPr>
            </w:pPr>
            <w:r w:rsidRPr="0061168D">
              <w:rPr>
                <w:rFonts w:eastAsia="Times New Roman" w:cs="Arial"/>
                <w:sz w:val="22"/>
                <w:lang w:eastAsia="en-GB"/>
              </w:rPr>
              <w:t xml:space="preserve">As set out in </w:t>
            </w:r>
            <w:r w:rsidRPr="001927F9">
              <w:rPr>
                <w:rFonts w:eastAsia="Times New Roman" w:cs="Arial"/>
                <w:sz w:val="22"/>
                <w:lang w:eastAsia="en-GB"/>
              </w:rPr>
              <w:t xml:space="preserve">career progression matrix </w:t>
            </w:r>
            <w:r w:rsidRPr="001927F9">
              <w:rPr>
                <w:rFonts w:eastAsia="Calibri" w:cs="Arial"/>
                <w:sz w:val="22"/>
                <w:lang w:eastAsia="en-GB"/>
              </w:rPr>
              <w:t>below</w:t>
            </w:r>
          </w:p>
        </w:tc>
        <w:tc>
          <w:tcPr>
            <w:tcW w:w="667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61168D" w:rsidRPr="0061168D" w:rsidRDefault="0061168D" w:rsidP="00392678">
            <w:pPr>
              <w:spacing w:after="0" w:line="240" w:lineRule="auto"/>
              <w:rPr>
                <w:rFonts w:eastAsia="Calibri" w:cs="Arial"/>
                <w:sz w:val="22"/>
                <w:lang w:eastAsia="en-GB"/>
              </w:rPr>
            </w:pPr>
            <w:r w:rsidRPr="0061168D">
              <w:rPr>
                <w:rFonts w:eastAsia="Calibri" w:cs="Arial"/>
                <w:sz w:val="22"/>
                <w:lang w:eastAsia="en-GB"/>
              </w:rPr>
              <w:t>HNC in Civil Engineering or equivalent</w:t>
            </w:r>
            <w:r w:rsidR="003D4FAD">
              <w:rPr>
                <w:rFonts w:eastAsia="Calibri" w:cs="Arial"/>
                <w:sz w:val="22"/>
                <w:lang w:eastAsia="en-GB"/>
              </w:rPr>
              <w:t xml:space="preserve"> and</w:t>
            </w:r>
            <w:bookmarkStart w:id="0" w:name="_GoBack"/>
            <w:bookmarkEnd w:id="0"/>
            <w:r w:rsidRPr="0061168D">
              <w:rPr>
                <w:rFonts w:eastAsia="Calibri" w:cs="Arial"/>
                <w:sz w:val="22"/>
                <w:lang w:eastAsia="en-GB"/>
              </w:rPr>
              <w:t xml:space="preserve"> assessed level of competency though interview/tests.</w:t>
            </w:r>
          </w:p>
        </w:tc>
      </w:tr>
      <w:tr w:rsidR="001927F9" w:rsidRPr="001927F9" w:rsidTr="001927F9">
        <w:trPr>
          <w:trHeight w:val="567"/>
          <w:jc w:val="center"/>
        </w:trPr>
        <w:tc>
          <w:tcPr>
            <w:tcW w:w="96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61168D" w:rsidRPr="0061168D" w:rsidRDefault="0061168D" w:rsidP="00392678">
            <w:pPr>
              <w:spacing w:after="0" w:line="240" w:lineRule="auto"/>
              <w:rPr>
                <w:rFonts w:ascii="Times New Roman" w:eastAsia="Calibri" w:hAnsi="Times New Roman" w:cs="Times New Roman"/>
                <w:sz w:val="22"/>
                <w:lang w:eastAsia="en-GB"/>
              </w:rPr>
            </w:pPr>
            <w:r w:rsidRPr="0061168D">
              <w:rPr>
                <w:rFonts w:eastAsia="Calibri" w:cs="Arial"/>
                <w:sz w:val="22"/>
                <w:lang w:eastAsia="en-GB"/>
              </w:rPr>
              <w:t>Grade 6</w:t>
            </w:r>
          </w:p>
          <w:p w:rsidR="0061168D" w:rsidRPr="0061168D" w:rsidRDefault="0061168D" w:rsidP="00392678">
            <w:pPr>
              <w:spacing w:after="0" w:line="240" w:lineRule="auto"/>
              <w:rPr>
                <w:rFonts w:ascii="Times New Roman" w:eastAsia="Calibri" w:hAnsi="Times New Roman" w:cs="Times New Roman"/>
                <w:sz w:val="22"/>
                <w:lang w:eastAsia="en-GB"/>
              </w:rPr>
            </w:pPr>
            <w:r w:rsidRPr="0061168D">
              <w:rPr>
                <w:rFonts w:eastAsia="Calibri" w:cs="Arial"/>
                <w:b/>
                <w:bCs/>
                <w:sz w:val="22"/>
                <w:lang w:eastAsia="en-GB"/>
              </w:rPr>
              <w:t> </w:t>
            </w:r>
          </w:p>
        </w:tc>
        <w:tc>
          <w:tcPr>
            <w:tcW w:w="2126" w:type="dxa"/>
            <w:tcBorders>
              <w:top w:val="nil"/>
              <w:left w:val="nil"/>
              <w:bottom w:val="single" w:sz="8" w:space="0" w:color="auto"/>
              <w:right w:val="single" w:sz="8" w:space="0" w:color="auto"/>
            </w:tcBorders>
            <w:tcMar>
              <w:top w:w="28" w:type="dxa"/>
              <w:left w:w="28" w:type="dxa"/>
              <w:bottom w:w="28" w:type="dxa"/>
              <w:right w:w="28" w:type="dxa"/>
            </w:tcMar>
            <w:vAlign w:val="center"/>
          </w:tcPr>
          <w:p w:rsidR="0061168D" w:rsidRPr="0061168D" w:rsidRDefault="001927F9" w:rsidP="001927F9">
            <w:pPr>
              <w:spacing w:after="0" w:line="240" w:lineRule="auto"/>
              <w:rPr>
                <w:rFonts w:ascii="Times New Roman" w:eastAsia="Calibri" w:hAnsi="Times New Roman" w:cs="Times New Roman"/>
                <w:sz w:val="22"/>
                <w:lang w:eastAsia="en-GB"/>
              </w:rPr>
            </w:pPr>
            <w:r w:rsidRPr="0061168D">
              <w:rPr>
                <w:rFonts w:eastAsia="Times New Roman" w:cs="Arial"/>
                <w:sz w:val="22"/>
                <w:lang w:eastAsia="en-GB"/>
              </w:rPr>
              <w:t xml:space="preserve">As set out in </w:t>
            </w:r>
            <w:r w:rsidRPr="001927F9">
              <w:rPr>
                <w:rFonts w:eastAsia="Times New Roman" w:cs="Arial"/>
                <w:sz w:val="22"/>
                <w:lang w:eastAsia="en-GB"/>
              </w:rPr>
              <w:t xml:space="preserve">career progression </w:t>
            </w:r>
            <w:r w:rsidRPr="0061168D">
              <w:rPr>
                <w:rFonts w:eastAsia="Times New Roman" w:cs="Arial"/>
                <w:sz w:val="22"/>
                <w:lang w:eastAsia="en-GB"/>
              </w:rPr>
              <w:t xml:space="preserve">matrix </w:t>
            </w:r>
            <w:r w:rsidRPr="001927F9">
              <w:rPr>
                <w:rFonts w:eastAsia="Calibri" w:cs="Arial"/>
                <w:sz w:val="22"/>
                <w:lang w:eastAsia="en-GB"/>
              </w:rPr>
              <w:t>below</w:t>
            </w:r>
            <w:r w:rsidR="0061168D" w:rsidRPr="0061168D">
              <w:rPr>
                <w:rFonts w:eastAsia="Calibri" w:cs="Arial"/>
                <w:sz w:val="22"/>
                <w:lang w:eastAsia="en-GB"/>
              </w:rPr>
              <w:t xml:space="preserve"> B</w:t>
            </w:r>
          </w:p>
        </w:tc>
        <w:tc>
          <w:tcPr>
            <w:tcW w:w="667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61168D" w:rsidRPr="0061168D" w:rsidRDefault="0061168D" w:rsidP="00392678">
            <w:pPr>
              <w:spacing w:after="0" w:line="240" w:lineRule="auto"/>
              <w:rPr>
                <w:rFonts w:ascii="Times New Roman" w:eastAsia="Calibri" w:hAnsi="Times New Roman" w:cs="Times New Roman"/>
                <w:sz w:val="22"/>
                <w:lang w:eastAsia="en-GB"/>
              </w:rPr>
            </w:pPr>
            <w:r w:rsidRPr="0061168D">
              <w:rPr>
                <w:rFonts w:eastAsia="Calibri" w:cs="Arial"/>
                <w:sz w:val="22"/>
                <w:lang w:eastAsia="en-GB"/>
              </w:rPr>
              <w:t>HNC in Civil Engineering or equivalent level of competency plus a minimum period of three years relevant experience assessed through interview/tests</w:t>
            </w:r>
          </w:p>
        </w:tc>
      </w:tr>
    </w:tbl>
    <w:p w:rsidR="001927F9" w:rsidRDefault="001927F9" w:rsidP="0061168D">
      <w:pPr>
        <w:spacing w:after="0" w:line="240" w:lineRule="auto"/>
        <w:rPr>
          <w:rFonts w:eastAsia="Times New Roman" w:cs="Arial"/>
          <w:b/>
          <w:szCs w:val="24"/>
          <w:lang w:eastAsia="en-GB"/>
        </w:rPr>
        <w:sectPr w:rsidR="001927F9" w:rsidSect="0061168D">
          <w:headerReference w:type="default" r:id="rId7"/>
          <w:footerReference w:type="default" r:id="rId8"/>
          <w:pgSz w:w="11906" w:h="16838" w:code="9"/>
          <w:pgMar w:top="1440" w:right="1440" w:bottom="1440" w:left="1440" w:header="709" w:footer="454" w:gutter="0"/>
          <w:cols w:space="708"/>
          <w:docGrid w:linePitch="360"/>
        </w:sectPr>
      </w:pPr>
    </w:p>
    <w:p w:rsidR="0061168D" w:rsidRPr="0061168D" w:rsidRDefault="001927F9" w:rsidP="0061168D">
      <w:pPr>
        <w:spacing w:after="0" w:line="240" w:lineRule="auto"/>
        <w:rPr>
          <w:rFonts w:eastAsia="Times New Roman" w:cs="Arial"/>
          <w:b/>
          <w:szCs w:val="24"/>
          <w:lang w:eastAsia="en-GB"/>
        </w:rPr>
      </w:pPr>
      <w:r>
        <w:rPr>
          <w:rFonts w:eastAsia="Times New Roman" w:cs="Arial"/>
          <w:b/>
          <w:szCs w:val="24"/>
          <w:lang w:eastAsia="en-GB"/>
        </w:rPr>
        <w:lastRenderedPageBreak/>
        <w:t>Career P</w:t>
      </w:r>
      <w:r w:rsidR="0061168D" w:rsidRPr="0061168D">
        <w:rPr>
          <w:rFonts w:eastAsia="Times New Roman" w:cs="Arial"/>
          <w:b/>
          <w:szCs w:val="24"/>
          <w:lang w:eastAsia="en-GB"/>
        </w:rPr>
        <w:t xml:space="preserve">rogression Matrix - Technicians </w:t>
      </w:r>
    </w:p>
    <w:p w:rsidR="0061168D" w:rsidRPr="0061168D" w:rsidRDefault="0061168D" w:rsidP="0061168D">
      <w:pPr>
        <w:spacing w:after="0" w:line="240" w:lineRule="auto"/>
        <w:rPr>
          <w:rFonts w:eastAsia="Times New Roman" w:cs="Arial"/>
          <w:b/>
          <w:szCs w:val="24"/>
          <w:lang w:eastAsia="en-GB"/>
        </w:rPr>
      </w:pPr>
    </w:p>
    <w:p w:rsidR="00262B5C" w:rsidRDefault="001927F9" w:rsidP="0061168D">
      <w:r>
        <w:rPr>
          <w:rFonts w:eastAsia="Times New Roman" w:cs="Times New Roman"/>
          <w:noProof/>
          <w:szCs w:val="24"/>
          <w:lang w:eastAsia="en-GB"/>
        </w:rPr>
        <w:drawing>
          <wp:inline distT="0" distB="0" distL="0" distR="0" wp14:anchorId="464FD78C" wp14:editId="000D026F">
            <wp:extent cx="13293090" cy="52836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3090" cy="5283605"/>
                    </a:xfrm>
                    <a:prstGeom prst="rect">
                      <a:avLst/>
                    </a:prstGeom>
                    <a:noFill/>
                    <a:ln>
                      <a:noFill/>
                    </a:ln>
                  </pic:spPr>
                </pic:pic>
              </a:graphicData>
            </a:graphic>
          </wp:inline>
        </w:drawing>
      </w:r>
    </w:p>
    <w:sectPr w:rsidR="00262B5C" w:rsidSect="001927F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8D" w:rsidRDefault="0061168D" w:rsidP="0061168D">
      <w:pPr>
        <w:spacing w:after="0" w:line="240" w:lineRule="auto"/>
      </w:pPr>
      <w:r>
        <w:separator/>
      </w:r>
    </w:p>
  </w:endnote>
  <w:endnote w:type="continuationSeparator" w:id="0">
    <w:p w:rsidR="0061168D" w:rsidRDefault="0061168D" w:rsidP="0061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6E" w:rsidRPr="00D166C4" w:rsidRDefault="001927F9" w:rsidP="00B4152A">
    <w:pPr>
      <w:pStyle w:val="Footer"/>
      <w:jc w:val="right"/>
      <w:rPr>
        <w:rFonts w:cs="Arial"/>
        <w:sz w:val="20"/>
        <w:szCs w:val="20"/>
      </w:rPr>
    </w:pPr>
    <w:r w:rsidRPr="005C2540">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8D" w:rsidRDefault="0061168D" w:rsidP="0061168D">
      <w:pPr>
        <w:spacing w:after="0" w:line="240" w:lineRule="auto"/>
      </w:pPr>
      <w:r>
        <w:separator/>
      </w:r>
    </w:p>
  </w:footnote>
  <w:footnote w:type="continuationSeparator" w:id="0">
    <w:p w:rsidR="0061168D" w:rsidRDefault="0061168D" w:rsidP="00611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6E" w:rsidRPr="003C7F71" w:rsidRDefault="003D4FAD" w:rsidP="00B041E5">
    <w:pPr>
      <w:pStyle w:val="Header"/>
      <w:tabs>
        <w:tab w:val="left" w:pos="88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8D"/>
    <w:rsid w:val="001927F9"/>
    <w:rsid w:val="00262B5C"/>
    <w:rsid w:val="00392678"/>
    <w:rsid w:val="003D4FAD"/>
    <w:rsid w:val="00611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68D"/>
  </w:style>
  <w:style w:type="paragraph" w:styleId="Footer">
    <w:name w:val="footer"/>
    <w:basedOn w:val="Normal"/>
    <w:link w:val="FooterChar"/>
    <w:uiPriority w:val="99"/>
    <w:unhideWhenUsed/>
    <w:rsid w:val="00611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68D"/>
  </w:style>
  <w:style w:type="character" w:styleId="PageNumber">
    <w:name w:val="page number"/>
    <w:basedOn w:val="DefaultParagraphFont"/>
    <w:rsid w:val="0061168D"/>
  </w:style>
  <w:style w:type="paragraph" w:styleId="BalloonText">
    <w:name w:val="Balloon Text"/>
    <w:basedOn w:val="Normal"/>
    <w:link w:val="BalloonTextChar"/>
    <w:uiPriority w:val="99"/>
    <w:semiHidden/>
    <w:unhideWhenUsed/>
    <w:rsid w:val="00611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68D"/>
  </w:style>
  <w:style w:type="paragraph" w:styleId="Footer">
    <w:name w:val="footer"/>
    <w:basedOn w:val="Normal"/>
    <w:link w:val="FooterChar"/>
    <w:uiPriority w:val="99"/>
    <w:unhideWhenUsed/>
    <w:rsid w:val="00611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68D"/>
  </w:style>
  <w:style w:type="character" w:styleId="PageNumber">
    <w:name w:val="page number"/>
    <w:basedOn w:val="DefaultParagraphFont"/>
    <w:rsid w:val="0061168D"/>
  </w:style>
  <w:style w:type="paragraph" w:styleId="BalloonText">
    <w:name w:val="Balloon Text"/>
    <w:basedOn w:val="Normal"/>
    <w:link w:val="BalloonTextChar"/>
    <w:uiPriority w:val="99"/>
    <w:semiHidden/>
    <w:unhideWhenUsed/>
    <w:rsid w:val="00611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Lewins</dc:creator>
  <cp:lastModifiedBy>Lewins</cp:lastModifiedBy>
  <cp:revision>2</cp:revision>
  <dcterms:created xsi:type="dcterms:W3CDTF">2018-03-26T07:39:00Z</dcterms:created>
  <dcterms:modified xsi:type="dcterms:W3CDTF">2019-01-09T17:15:00Z</dcterms:modified>
</cp:coreProperties>
</file>