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242" w:rsidRDefault="00E56242">
      <w:pPr>
        <w:ind w:left="1260" w:right="1440"/>
        <w:rPr>
          <w:rFonts w:ascii="Arial" w:hAnsi="Arial" w:cs="Arial"/>
          <w:b/>
          <w:sz w:val="36"/>
          <w:szCs w:val="36"/>
        </w:rPr>
      </w:pPr>
    </w:p>
    <w:p w:rsidR="00E56242" w:rsidRDefault="00E56242">
      <w:pPr>
        <w:ind w:left="1080" w:right="1182"/>
        <w:jc w:val="center"/>
        <w:rPr>
          <w:rFonts w:ascii="Arial" w:hAnsi="Arial"/>
          <w:b/>
          <w:bCs/>
          <w:color w:val="003366"/>
          <w:sz w:val="36"/>
        </w:rPr>
      </w:pPr>
      <w:r>
        <w:rPr>
          <w:rFonts w:ascii="Arial" w:hAnsi="Arial"/>
          <w:b/>
          <w:bCs/>
          <w:color w:val="003366"/>
          <w:sz w:val="36"/>
        </w:rPr>
        <w:t>JOB DESCRIPTION</w:t>
      </w:r>
    </w:p>
    <w:p w:rsidR="00E56242" w:rsidRDefault="00E56242">
      <w:pPr>
        <w:ind w:left="1080" w:right="1182"/>
        <w:jc w:val="both"/>
        <w:rPr>
          <w:rFonts w:ascii="Arial" w:hAnsi="Arial"/>
          <w:sz w:val="22"/>
        </w:rPr>
      </w:pPr>
    </w:p>
    <w:p w:rsidR="00CC4A08" w:rsidRDefault="00E56242" w:rsidP="00E56242">
      <w:pPr>
        <w:ind w:left="1080" w:right="849"/>
        <w:jc w:val="both"/>
        <w:rPr>
          <w:rFonts w:ascii="Arial" w:hAnsi="Arial"/>
        </w:rPr>
      </w:pPr>
      <w:r>
        <w:rPr>
          <w:rFonts w:ascii="Arial" w:hAnsi="Arial"/>
          <w:b/>
          <w:bCs/>
          <w:color w:val="003366"/>
        </w:rPr>
        <w:t>Post Title:</w:t>
      </w:r>
      <w:r>
        <w:rPr>
          <w:rFonts w:ascii="Arial" w:hAnsi="Arial"/>
          <w:b/>
          <w:bCs/>
          <w:color w:val="003366"/>
        </w:rPr>
        <w:tab/>
      </w:r>
      <w:r>
        <w:rPr>
          <w:rFonts w:ascii="Arial" w:hAnsi="Arial"/>
        </w:rPr>
        <w:tab/>
      </w:r>
      <w:r w:rsidR="008243AC">
        <w:rPr>
          <w:rFonts w:ascii="Arial" w:hAnsi="Arial"/>
        </w:rPr>
        <w:t>Claims and Monitoring Officer</w:t>
      </w:r>
    </w:p>
    <w:p w:rsidR="00581104" w:rsidRDefault="00E56242" w:rsidP="00E56242">
      <w:pPr>
        <w:ind w:left="1080" w:right="849"/>
        <w:jc w:val="both"/>
        <w:rPr>
          <w:rFonts w:ascii="Arial" w:hAnsi="Arial"/>
        </w:rPr>
      </w:pPr>
      <w:r>
        <w:rPr>
          <w:rFonts w:ascii="Arial" w:hAnsi="Arial"/>
          <w:b/>
          <w:bCs/>
          <w:color w:val="003366"/>
        </w:rPr>
        <w:t>Post Reference:</w:t>
      </w:r>
      <w:r>
        <w:rPr>
          <w:rFonts w:ascii="Arial" w:hAnsi="Arial"/>
          <w:b/>
          <w:bCs/>
          <w:color w:val="003366"/>
        </w:rPr>
        <w:tab/>
      </w:r>
      <w:r w:rsidR="0085597F">
        <w:rPr>
          <w:rFonts w:ascii="Arial" w:hAnsi="Arial"/>
        </w:rPr>
        <w:t xml:space="preserve">TVCA </w:t>
      </w:r>
    </w:p>
    <w:p w:rsidR="004B18CE" w:rsidRDefault="00E56242" w:rsidP="00E56242">
      <w:pPr>
        <w:ind w:left="1080" w:right="849"/>
        <w:jc w:val="both"/>
        <w:rPr>
          <w:rFonts w:ascii="Arial" w:hAnsi="Arial"/>
        </w:rPr>
      </w:pPr>
      <w:r>
        <w:rPr>
          <w:rFonts w:ascii="Arial" w:hAnsi="Arial"/>
          <w:b/>
          <w:bCs/>
          <w:color w:val="003366"/>
        </w:rPr>
        <w:t>Grade:</w:t>
      </w:r>
      <w:r w:rsidR="00CC4A08">
        <w:rPr>
          <w:rFonts w:ascii="Arial" w:hAnsi="Arial"/>
        </w:rPr>
        <w:tab/>
      </w:r>
      <w:r w:rsidR="00CC4A08">
        <w:rPr>
          <w:rFonts w:ascii="Arial" w:hAnsi="Arial"/>
        </w:rPr>
        <w:tab/>
      </w:r>
      <w:r w:rsidR="00CC4A08">
        <w:rPr>
          <w:rFonts w:ascii="Arial" w:hAnsi="Arial"/>
        </w:rPr>
        <w:tab/>
      </w:r>
      <w:r w:rsidR="00B9505F">
        <w:rPr>
          <w:rFonts w:ascii="Arial" w:hAnsi="Arial"/>
        </w:rPr>
        <w:t>J</w:t>
      </w:r>
    </w:p>
    <w:p w:rsidR="00F57880" w:rsidRDefault="00E56242" w:rsidP="00F57880">
      <w:pPr>
        <w:ind w:left="1080" w:right="849"/>
        <w:jc w:val="both"/>
        <w:rPr>
          <w:rFonts w:ascii="Arial" w:hAnsi="Arial"/>
        </w:rPr>
      </w:pPr>
      <w:r>
        <w:rPr>
          <w:rFonts w:ascii="Arial" w:hAnsi="Arial"/>
          <w:b/>
          <w:bCs/>
          <w:color w:val="003366"/>
        </w:rPr>
        <w:t>Responsible to:</w:t>
      </w:r>
      <w:r>
        <w:rPr>
          <w:rFonts w:ascii="Arial" w:hAnsi="Arial"/>
          <w:b/>
          <w:bCs/>
          <w:color w:val="003366"/>
        </w:rPr>
        <w:tab/>
      </w:r>
      <w:r w:rsidR="00941E4F">
        <w:rPr>
          <w:rFonts w:ascii="Arial" w:hAnsi="Arial"/>
        </w:rPr>
        <w:t>Claims and Monitoring Manager</w:t>
      </w:r>
      <w:r w:rsidR="008243AC">
        <w:rPr>
          <w:rFonts w:ascii="Arial" w:hAnsi="Arial"/>
        </w:rPr>
        <w:t xml:space="preserve"> </w:t>
      </w:r>
    </w:p>
    <w:p w:rsidR="00E56242" w:rsidRDefault="00E56242" w:rsidP="00E56242">
      <w:pPr>
        <w:pStyle w:val="Heading2"/>
        <w:spacing w:before="200" w:after="120"/>
        <w:ind w:left="1077" w:right="849"/>
        <w:rPr>
          <w:sz w:val="22"/>
        </w:rPr>
      </w:pPr>
      <w:r>
        <w:t>Job Purpose</w:t>
      </w:r>
    </w:p>
    <w:p w:rsidR="008243AC" w:rsidRDefault="008243AC" w:rsidP="00FC6F6D">
      <w:pPr>
        <w:pStyle w:val="Default"/>
        <w:ind w:left="1077"/>
        <w:rPr>
          <w:sz w:val="22"/>
          <w:szCs w:val="22"/>
        </w:rPr>
      </w:pPr>
      <w:r>
        <w:rPr>
          <w:sz w:val="22"/>
          <w:szCs w:val="22"/>
        </w:rPr>
        <w:t xml:space="preserve">The role will support the </w:t>
      </w:r>
      <w:r w:rsidR="00941E4F">
        <w:rPr>
          <w:sz w:val="22"/>
          <w:szCs w:val="22"/>
        </w:rPr>
        <w:t>Claims and Monitoring Manager</w:t>
      </w:r>
      <w:r>
        <w:rPr>
          <w:sz w:val="22"/>
          <w:szCs w:val="22"/>
        </w:rPr>
        <w:t xml:space="preserve"> in the </w:t>
      </w:r>
      <w:r w:rsidR="005C3E8B">
        <w:rPr>
          <w:sz w:val="22"/>
          <w:szCs w:val="22"/>
        </w:rPr>
        <w:t>administration</w:t>
      </w:r>
      <w:r>
        <w:rPr>
          <w:sz w:val="22"/>
          <w:szCs w:val="22"/>
        </w:rPr>
        <w:t xml:space="preserve"> and monitoring of the TVCA </w:t>
      </w:r>
      <w:r w:rsidR="008E5910">
        <w:rPr>
          <w:sz w:val="22"/>
          <w:szCs w:val="22"/>
        </w:rPr>
        <w:t xml:space="preserve">Multi-Year </w:t>
      </w:r>
      <w:r>
        <w:rPr>
          <w:sz w:val="22"/>
          <w:szCs w:val="22"/>
        </w:rPr>
        <w:t xml:space="preserve">Investment Programme as part of the delivery of the Tees Valley 10 year </w:t>
      </w:r>
      <w:r w:rsidR="00941E4F">
        <w:rPr>
          <w:sz w:val="22"/>
          <w:szCs w:val="22"/>
        </w:rPr>
        <w:t>Investment</w:t>
      </w:r>
      <w:r>
        <w:rPr>
          <w:sz w:val="22"/>
          <w:szCs w:val="22"/>
        </w:rPr>
        <w:t xml:space="preserve"> Plan. </w:t>
      </w:r>
      <w:r w:rsidR="00AA2268">
        <w:rPr>
          <w:sz w:val="22"/>
          <w:szCs w:val="22"/>
        </w:rPr>
        <w:t>The Investment Programme currently stands at £</w:t>
      </w:r>
      <w:r w:rsidR="00941E4F">
        <w:rPr>
          <w:sz w:val="22"/>
          <w:szCs w:val="22"/>
        </w:rPr>
        <w:t xml:space="preserve">588 </w:t>
      </w:r>
      <w:r w:rsidR="00AA2268">
        <w:rPr>
          <w:sz w:val="22"/>
          <w:szCs w:val="22"/>
        </w:rPr>
        <w:t xml:space="preserve">million with </w:t>
      </w:r>
      <w:r w:rsidR="008E5910">
        <w:rPr>
          <w:sz w:val="22"/>
          <w:szCs w:val="22"/>
        </w:rPr>
        <w:t>potential for</w:t>
      </w:r>
      <w:r w:rsidR="00AA2268">
        <w:rPr>
          <w:sz w:val="22"/>
          <w:szCs w:val="22"/>
        </w:rPr>
        <w:t xml:space="preserve"> further devolution from Central Government.</w:t>
      </w:r>
    </w:p>
    <w:p w:rsidR="008243AC" w:rsidRDefault="008243AC" w:rsidP="00FC6F6D">
      <w:pPr>
        <w:pStyle w:val="Default"/>
        <w:ind w:left="1077"/>
        <w:rPr>
          <w:sz w:val="22"/>
          <w:szCs w:val="22"/>
        </w:rPr>
      </w:pPr>
    </w:p>
    <w:p w:rsidR="008243AC" w:rsidRDefault="008243AC" w:rsidP="00FC6F6D">
      <w:pPr>
        <w:pStyle w:val="Default"/>
        <w:ind w:left="1077"/>
        <w:rPr>
          <w:sz w:val="22"/>
          <w:szCs w:val="22"/>
        </w:rPr>
      </w:pPr>
      <w:r>
        <w:rPr>
          <w:sz w:val="22"/>
          <w:szCs w:val="22"/>
        </w:rPr>
        <w:t>Key responsibilities</w:t>
      </w:r>
      <w:r w:rsidR="004C6ED0">
        <w:rPr>
          <w:sz w:val="22"/>
          <w:szCs w:val="22"/>
        </w:rPr>
        <w:t xml:space="preserve"> </w:t>
      </w:r>
      <w:r>
        <w:rPr>
          <w:sz w:val="22"/>
          <w:szCs w:val="22"/>
        </w:rPr>
        <w:t xml:space="preserve">include supporting the </w:t>
      </w:r>
      <w:r w:rsidR="00DF39F4">
        <w:rPr>
          <w:sz w:val="22"/>
          <w:szCs w:val="22"/>
        </w:rPr>
        <w:t>Claims and Monitoring Manger</w:t>
      </w:r>
      <w:r>
        <w:rPr>
          <w:sz w:val="22"/>
          <w:szCs w:val="22"/>
        </w:rPr>
        <w:t xml:space="preserve"> in developing, setting up and administering </w:t>
      </w:r>
      <w:r w:rsidR="004C6ED0">
        <w:rPr>
          <w:sz w:val="22"/>
          <w:szCs w:val="22"/>
        </w:rPr>
        <w:t xml:space="preserve">the investment programme to meet the </w:t>
      </w:r>
      <w:r w:rsidR="00DF39F4">
        <w:rPr>
          <w:sz w:val="22"/>
          <w:szCs w:val="22"/>
        </w:rPr>
        <w:t xml:space="preserve">monitoring </w:t>
      </w:r>
      <w:r w:rsidR="004C6ED0">
        <w:rPr>
          <w:sz w:val="22"/>
          <w:szCs w:val="22"/>
        </w:rPr>
        <w:t xml:space="preserve">requirements of the ‘Single Pot’ Assurance Framework agreed with </w:t>
      </w:r>
      <w:r w:rsidR="00DF39F4">
        <w:rPr>
          <w:sz w:val="22"/>
          <w:szCs w:val="22"/>
        </w:rPr>
        <w:t>G</w:t>
      </w:r>
      <w:r w:rsidR="004C6ED0">
        <w:rPr>
          <w:sz w:val="22"/>
          <w:szCs w:val="22"/>
        </w:rPr>
        <w:t>overnment</w:t>
      </w:r>
      <w:bookmarkStart w:id="0" w:name="_GoBack"/>
      <w:bookmarkEnd w:id="0"/>
      <w:r>
        <w:rPr>
          <w:sz w:val="22"/>
          <w:szCs w:val="22"/>
        </w:rPr>
        <w:t xml:space="preserve">. The role will require working with a wide range of partners from multi-disciplinary backgrounds to ensure effective communication, management and delivery of projects and programmes. The role will be expected to work independently with the project leads to ensure they are aware and able to meet the financial claims and monitoring requirements. </w:t>
      </w:r>
    </w:p>
    <w:p w:rsidR="00E56242" w:rsidRPr="004A3DC9" w:rsidRDefault="003D2FFA" w:rsidP="004A3DC9">
      <w:pPr>
        <w:pStyle w:val="Heading2"/>
        <w:spacing w:before="200" w:after="120"/>
        <w:ind w:left="1077" w:right="849"/>
      </w:pPr>
      <w:r>
        <w:t xml:space="preserve">Duties &amp; Responsibilities </w:t>
      </w:r>
      <w:r w:rsidR="00E56242">
        <w:rPr>
          <w:sz w:val="22"/>
        </w:rPr>
        <w:tab/>
      </w:r>
    </w:p>
    <w:p w:rsidR="004B18CE" w:rsidRPr="00B20587" w:rsidRDefault="00B20587" w:rsidP="007E630F">
      <w:pPr>
        <w:tabs>
          <w:tab w:val="left" w:pos="1134"/>
        </w:tabs>
        <w:spacing w:after="240" w:line="252" w:lineRule="exact"/>
        <w:ind w:left="1077"/>
        <w:rPr>
          <w:rFonts w:ascii="Arial" w:hAnsi="Arial" w:cs="Arial"/>
          <w:bCs/>
          <w:sz w:val="22"/>
          <w:szCs w:val="22"/>
        </w:rPr>
      </w:pPr>
      <w:r>
        <w:rPr>
          <w:bCs/>
          <w:sz w:val="22"/>
          <w:szCs w:val="22"/>
        </w:rPr>
        <w:tab/>
      </w:r>
      <w:r w:rsidR="008243AC" w:rsidRPr="00B20587">
        <w:rPr>
          <w:rFonts w:ascii="Arial" w:hAnsi="Arial" w:cs="Arial"/>
          <w:bCs/>
          <w:sz w:val="22"/>
          <w:szCs w:val="22"/>
        </w:rPr>
        <w:t xml:space="preserve">Support the </w:t>
      </w:r>
      <w:r w:rsidR="00DF39F4">
        <w:rPr>
          <w:rFonts w:ascii="Arial" w:hAnsi="Arial" w:cs="Arial"/>
          <w:bCs/>
          <w:sz w:val="22"/>
          <w:szCs w:val="22"/>
        </w:rPr>
        <w:t>Claims and Monitoring</w:t>
      </w:r>
      <w:r w:rsidR="008243AC" w:rsidRPr="00B20587">
        <w:rPr>
          <w:rFonts w:ascii="Arial" w:hAnsi="Arial" w:cs="Arial"/>
          <w:bCs/>
          <w:sz w:val="22"/>
          <w:szCs w:val="22"/>
        </w:rPr>
        <w:t xml:space="preserve"> Manager by setting up and coordinating </w:t>
      </w:r>
      <w:r w:rsidR="004C6ED0">
        <w:rPr>
          <w:rFonts w:ascii="Arial" w:hAnsi="Arial" w:cs="Arial"/>
          <w:bCs/>
          <w:sz w:val="22"/>
          <w:szCs w:val="22"/>
        </w:rPr>
        <w:t xml:space="preserve">the delivery, </w:t>
      </w:r>
      <w:r w:rsidR="00DF39F4">
        <w:rPr>
          <w:rFonts w:ascii="Arial" w:hAnsi="Arial" w:cs="Arial"/>
          <w:bCs/>
          <w:sz w:val="22"/>
          <w:szCs w:val="22"/>
        </w:rPr>
        <w:t xml:space="preserve"> </w:t>
      </w:r>
      <w:r w:rsidR="004C6ED0">
        <w:rPr>
          <w:rFonts w:ascii="Arial" w:hAnsi="Arial" w:cs="Arial"/>
          <w:bCs/>
          <w:sz w:val="22"/>
          <w:szCs w:val="22"/>
        </w:rPr>
        <w:t>closure and evaluation elements of the ‘Single Pot’ Assurance Framework</w:t>
      </w:r>
      <w:r w:rsidR="005C3E8B">
        <w:rPr>
          <w:rFonts w:ascii="Arial" w:hAnsi="Arial" w:cs="Arial"/>
          <w:bCs/>
          <w:sz w:val="22"/>
          <w:szCs w:val="22"/>
        </w:rPr>
        <w:t>.</w:t>
      </w:r>
      <w:r w:rsidR="008243AC" w:rsidRPr="00B20587">
        <w:rPr>
          <w:rFonts w:ascii="Arial" w:hAnsi="Arial" w:cs="Arial"/>
          <w:bCs/>
          <w:sz w:val="22"/>
          <w:szCs w:val="22"/>
        </w:rPr>
        <w:t xml:space="preserve"> </w:t>
      </w:r>
      <w:r w:rsidR="005C3E8B">
        <w:rPr>
          <w:rFonts w:ascii="Arial" w:hAnsi="Arial" w:cs="Arial"/>
          <w:bCs/>
          <w:sz w:val="22"/>
          <w:szCs w:val="22"/>
        </w:rPr>
        <w:t>D</w:t>
      </w:r>
      <w:r w:rsidR="008243AC" w:rsidRPr="00B20587">
        <w:rPr>
          <w:rFonts w:ascii="Arial" w:hAnsi="Arial" w:cs="Arial"/>
          <w:bCs/>
          <w:sz w:val="22"/>
          <w:szCs w:val="22"/>
        </w:rPr>
        <w:t>irect duties include:</w:t>
      </w:r>
    </w:p>
    <w:p w:rsidR="008243AC" w:rsidRPr="00B20587" w:rsidRDefault="008243AC" w:rsidP="00B20587">
      <w:pPr>
        <w:pStyle w:val="ListParagraph"/>
        <w:numPr>
          <w:ilvl w:val="0"/>
          <w:numId w:val="27"/>
        </w:numPr>
        <w:spacing w:after="240" w:line="252" w:lineRule="exact"/>
        <w:rPr>
          <w:bCs/>
          <w:sz w:val="22"/>
          <w:szCs w:val="22"/>
        </w:rPr>
      </w:pPr>
      <w:r w:rsidRPr="00B20587">
        <w:rPr>
          <w:bCs/>
          <w:sz w:val="22"/>
          <w:szCs w:val="22"/>
        </w:rPr>
        <w:t xml:space="preserve">Design and implement effective monitoring and accounting systems, ensuring compatibility with </w:t>
      </w:r>
      <w:r w:rsidR="008E5910">
        <w:rPr>
          <w:bCs/>
          <w:sz w:val="22"/>
          <w:szCs w:val="22"/>
        </w:rPr>
        <w:t xml:space="preserve">the </w:t>
      </w:r>
      <w:r w:rsidRPr="00B20587">
        <w:rPr>
          <w:bCs/>
          <w:sz w:val="22"/>
          <w:szCs w:val="22"/>
        </w:rPr>
        <w:t>funding organisations</w:t>
      </w:r>
      <w:r w:rsidR="005C3E8B">
        <w:rPr>
          <w:bCs/>
          <w:sz w:val="22"/>
          <w:szCs w:val="22"/>
        </w:rPr>
        <w:t>’</w:t>
      </w:r>
      <w:r w:rsidR="00172D2C">
        <w:rPr>
          <w:bCs/>
          <w:sz w:val="22"/>
          <w:szCs w:val="22"/>
        </w:rPr>
        <w:t xml:space="preserve"> requirements</w:t>
      </w:r>
      <w:r w:rsidRPr="00B20587">
        <w:rPr>
          <w:bCs/>
          <w:sz w:val="22"/>
          <w:szCs w:val="22"/>
        </w:rPr>
        <w:t>;</w:t>
      </w:r>
    </w:p>
    <w:p w:rsidR="00B20587" w:rsidRDefault="008243AC" w:rsidP="00B20587">
      <w:pPr>
        <w:pStyle w:val="ListParagraph"/>
        <w:numPr>
          <w:ilvl w:val="0"/>
          <w:numId w:val="27"/>
        </w:numPr>
        <w:spacing w:after="240" w:line="252" w:lineRule="exact"/>
        <w:rPr>
          <w:bCs/>
          <w:sz w:val="22"/>
          <w:szCs w:val="22"/>
        </w:rPr>
      </w:pPr>
      <w:r w:rsidRPr="00B20587">
        <w:rPr>
          <w:bCs/>
          <w:sz w:val="22"/>
          <w:szCs w:val="22"/>
        </w:rPr>
        <w:t>Design</w:t>
      </w:r>
      <w:r w:rsidR="00B20587" w:rsidRPr="00B20587">
        <w:rPr>
          <w:bCs/>
          <w:sz w:val="22"/>
          <w:szCs w:val="22"/>
        </w:rPr>
        <w:t>, implement, collate and manage</w:t>
      </w:r>
      <w:r w:rsidRPr="00B20587">
        <w:rPr>
          <w:bCs/>
          <w:sz w:val="22"/>
          <w:szCs w:val="22"/>
        </w:rPr>
        <w:t xml:space="preserve"> all information from partners to analyse and report on programme performance</w:t>
      </w:r>
      <w:r w:rsidR="00AA2268">
        <w:rPr>
          <w:bCs/>
          <w:sz w:val="22"/>
          <w:szCs w:val="22"/>
        </w:rPr>
        <w:t xml:space="preserve"> using a range of electronic systems</w:t>
      </w:r>
      <w:r w:rsidRPr="00B20587">
        <w:rPr>
          <w:bCs/>
          <w:sz w:val="22"/>
          <w:szCs w:val="22"/>
        </w:rPr>
        <w:t xml:space="preserve">; </w:t>
      </w:r>
    </w:p>
    <w:p w:rsidR="00F92496" w:rsidRDefault="008E5910" w:rsidP="00F92496">
      <w:pPr>
        <w:pStyle w:val="ListParagraph"/>
        <w:numPr>
          <w:ilvl w:val="0"/>
          <w:numId w:val="27"/>
        </w:numPr>
        <w:spacing w:after="240" w:line="252" w:lineRule="exact"/>
        <w:rPr>
          <w:bCs/>
          <w:sz w:val="22"/>
          <w:szCs w:val="22"/>
        </w:rPr>
      </w:pPr>
      <w:r>
        <w:rPr>
          <w:bCs/>
          <w:sz w:val="22"/>
          <w:szCs w:val="22"/>
        </w:rPr>
        <w:t xml:space="preserve">Work closely with Finance colleagues to maintain financial forecasts </w:t>
      </w:r>
      <w:r w:rsidR="005C3E8B">
        <w:rPr>
          <w:bCs/>
          <w:sz w:val="22"/>
          <w:szCs w:val="22"/>
        </w:rPr>
        <w:t xml:space="preserve">and reporting </w:t>
      </w:r>
      <w:r>
        <w:rPr>
          <w:bCs/>
          <w:sz w:val="22"/>
          <w:szCs w:val="22"/>
        </w:rPr>
        <w:t>for the multi-year programme;</w:t>
      </w:r>
    </w:p>
    <w:p w:rsidR="00F92496" w:rsidRPr="00F92496" w:rsidRDefault="00F92496" w:rsidP="00F92496">
      <w:pPr>
        <w:pStyle w:val="ListParagraph"/>
        <w:numPr>
          <w:ilvl w:val="0"/>
          <w:numId w:val="27"/>
        </w:numPr>
        <w:spacing w:after="240" w:line="252" w:lineRule="exact"/>
        <w:rPr>
          <w:bCs/>
          <w:sz w:val="22"/>
          <w:szCs w:val="22"/>
        </w:rPr>
      </w:pPr>
      <w:r w:rsidRPr="00F92496">
        <w:rPr>
          <w:bCs/>
          <w:sz w:val="22"/>
          <w:szCs w:val="22"/>
        </w:rPr>
        <w:t>Assist in the development of performance reports for various governance grou</w:t>
      </w:r>
      <w:r w:rsidR="005C3E8B">
        <w:rPr>
          <w:bCs/>
          <w:sz w:val="22"/>
          <w:szCs w:val="22"/>
        </w:rPr>
        <w:t>ps and submission to government;</w:t>
      </w:r>
      <w:r w:rsidRPr="00F92496">
        <w:rPr>
          <w:bCs/>
          <w:sz w:val="22"/>
          <w:szCs w:val="22"/>
        </w:rPr>
        <w:t xml:space="preserve"> </w:t>
      </w:r>
    </w:p>
    <w:p w:rsidR="008243AC" w:rsidRPr="00B20587" w:rsidRDefault="00B20587" w:rsidP="00B20587">
      <w:pPr>
        <w:pStyle w:val="ListParagraph"/>
        <w:numPr>
          <w:ilvl w:val="0"/>
          <w:numId w:val="27"/>
        </w:numPr>
        <w:spacing w:after="240" w:line="252" w:lineRule="exact"/>
        <w:rPr>
          <w:bCs/>
          <w:sz w:val="22"/>
          <w:szCs w:val="22"/>
        </w:rPr>
      </w:pPr>
      <w:r w:rsidRPr="00B20587">
        <w:rPr>
          <w:bCs/>
          <w:sz w:val="22"/>
          <w:szCs w:val="22"/>
        </w:rPr>
        <w:t>Seek, negotiate and obtain any additional information from the project lead</w:t>
      </w:r>
      <w:r w:rsidR="005C3E8B">
        <w:rPr>
          <w:bCs/>
          <w:sz w:val="22"/>
          <w:szCs w:val="22"/>
        </w:rPr>
        <w:t>s</w:t>
      </w:r>
      <w:r w:rsidRPr="00B20587">
        <w:rPr>
          <w:bCs/>
          <w:sz w:val="22"/>
          <w:szCs w:val="22"/>
        </w:rPr>
        <w:t xml:space="preserve"> as required; </w:t>
      </w:r>
      <w:r w:rsidR="008243AC" w:rsidRPr="00B20587">
        <w:rPr>
          <w:bCs/>
          <w:sz w:val="22"/>
          <w:szCs w:val="22"/>
        </w:rPr>
        <w:t>and</w:t>
      </w:r>
    </w:p>
    <w:p w:rsidR="008243AC" w:rsidRPr="00B20587" w:rsidRDefault="008243AC" w:rsidP="00B20587">
      <w:pPr>
        <w:pStyle w:val="ListParagraph"/>
        <w:numPr>
          <w:ilvl w:val="0"/>
          <w:numId w:val="27"/>
        </w:numPr>
        <w:spacing w:after="240" w:line="252" w:lineRule="exact"/>
        <w:rPr>
          <w:bCs/>
          <w:sz w:val="22"/>
          <w:szCs w:val="22"/>
        </w:rPr>
      </w:pPr>
      <w:r w:rsidRPr="00B20587">
        <w:rPr>
          <w:bCs/>
          <w:sz w:val="22"/>
          <w:szCs w:val="22"/>
        </w:rPr>
        <w:t>Liaise with partners to ensure consistency and good practice.</w:t>
      </w:r>
    </w:p>
    <w:p w:rsidR="008243AC" w:rsidRDefault="00B20587" w:rsidP="00B20587">
      <w:pPr>
        <w:spacing w:after="240" w:line="252" w:lineRule="exact"/>
        <w:ind w:left="1091"/>
        <w:rPr>
          <w:rFonts w:ascii="Arial" w:hAnsi="Arial" w:cs="Arial"/>
          <w:bCs/>
          <w:sz w:val="22"/>
          <w:szCs w:val="22"/>
        </w:rPr>
      </w:pPr>
      <w:r>
        <w:rPr>
          <w:rFonts w:ascii="Arial" w:hAnsi="Arial" w:cs="Arial"/>
          <w:bCs/>
          <w:sz w:val="22"/>
          <w:szCs w:val="22"/>
        </w:rPr>
        <w:t>Work independently with projects at delivery stage to ensure the following:</w:t>
      </w:r>
    </w:p>
    <w:p w:rsidR="00B20587" w:rsidRPr="00B20587" w:rsidRDefault="00B20587" w:rsidP="00B20587">
      <w:pPr>
        <w:pStyle w:val="ListParagraph"/>
        <w:numPr>
          <w:ilvl w:val="0"/>
          <w:numId w:val="27"/>
        </w:numPr>
        <w:spacing w:after="240" w:line="252" w:lineRule="exact"/>
        <w:rPr>
          <w:bCs/>
          <w:sz w:val="22"/>
          <w:szCs w:val="22"/>
        </w:rPr>
      </w:pPr>
      <w:r w:rsidRPr="00B20587">
        <w:rPr>
          <w:bCs/>
          <w:sz w:val="22"/>
          <w:szCs w:val="22"/>
        </w:rPr>
        <w:t>Clear audit trails are in place for all decisions made in relation to the projects from inception through to closure;</w:t>
      </w:r>
    </w:p>
    <w:p w:rsidR="00B20587" w:rsidRPr="00B20587" w:rsidRDefault="00B20587" w:rsidP="00B20587">
      <w:pPr>
        <w:pStyle w:val="ListParagraph"/>
        <w:numPr>
          <w:ilvl w:val="0"/>
          <w:numId w:val="27"/>
        </w:numPr>
        <w:spacing w:after="240" w:line="252" w:lineRule="exact"/>
        <w:rPr>
          <w:bCs/>
          <w:sz w:val="22"/>
          <w:szCs w:val="22"/>
        </w:rPr>
      </w:pPr>
      <w:r w:rsidRPr="00B20587">
        <w:rPr>
          <w:bCs/>
          <w:sz w:val="22"/>
          <w:szCs w:val="22"/>
        </w:rPr>
        <w:t>Prepare for an</w:t>
      </w:r>
      <w:r w:rsidR="005C3E8B">
        <w:rPr>
          <w:bCs/>
          <w:sz w:val="22"/>
          <w:szCs w:val="22"/>
        </w:rPr>
        <w:t>d</w:t>
      </w:r>
      <w:r w:rsidRPr="00B20587">
        <w:rPr>
          <w:bCs/>
          <w:sz w:val="22"/>
          <w:szCs w:val="22"/>
        </w:rPr>
        <w:t xml:space="preserve"> undertake Project Engagement Visits, ensuring all relevant documentation is </w:t>
      </w:r>
      <w:r w:rsidRPr="00B20587">
        <w:rPr>
          <w:bCs/>
          <w:sz w:val="22"/>
          <w:szCs w:val="22"/>
        </w:rPr>
        <w:tab/>
        <w:t>handed over to the projects and support needed is identified and provided;</w:t>
      </w:r>
    </w:p>
    <w:p w:rsidR="00B20587" w:rsidRPr="00B20587" w:rsidRDefault="00B20587" w:rsidP="00B20587">
      <w:pPr>
        <w:pStyle w:val="ListParagraph"/>
        <w:numPr>
          <w:ilvl w:val="0"/>
          <w:numId w:val="27"/>
        </w:numPr>
        <w:spacing w:after="240" w:line="252" w:lineRule="exact"/>
        <w:rPr>
          <w:bCs/>
          <w:sz w:val="22"/>
          <w:szCs w:val="22"/>
        </w:rPr>
      </w:pPr>
      <w:r w:rsidRPr="00B20587">
        <w:rPr>
          <w:bCs/>
          <w:sz w:val="22"/>
          <w:szCs w:val="22"/>
        </w:rPr>
        <w:lastRenderedPageBreak/>
        <w:t>Manage the claims, monitoring and evaluation of projects, ensuring rigorous tracking procedures are in place to monitor, review and forecast performance against targets;</w:t>
      </w:r>
    </w:p>
    <w:p w:rsidR="001E01B1" w:rsidRDefault="001E01B1" w:rsidP="001E01B1">
      <w:pPr>
        <w:pStyle w:val="ListParagraph"/>
        <w:numPr>
          <w:ilvl w:val="0"/>
          <w:numId w:val="27"/>
        </w:numPr>
        <w:rPr>
          <w:bCs/>
          <w:sz w:val="22"/>
          <w:szCs w:val="22"/>
        </w:rPr>
      </w:pPr>
      <w:r w:rsidRPr="001E01B1">
        <w:rPr>
          <w:bCs/>
          <w:sz w:val="22"/>
          <w:szCs w:val="22"/>
        </w:rPr>
        <w:t>Gather and process detailed evidence from the proposal leads within tight deadlines, identifying any missing information or queries to ensure compliance and robustness under scrutiny;</w:t>
      </w:r>
    </w:p>
    <w:p w:rsidR="005C3E8B" w:rsidRPr="001E01B1" w:rsidRDefault="005C3E8B" w:rsidP="005C3E8B">
      <w:pPr>
        <w:pStyle w:val="ListParagraph"/>
        <w:ind w:left="1811"/>
        <w:rPr>
          <w:bCs/>
          <w:sz w:val="22"/>
          <w:szCs w:val="22"/>
        </w:rPr>
      </w:pPr>
    </w:p>
    <w:p w:rsidR="00B20587" w:rsidRDefault="004C6ED0" w:rsidP="001E01B1">
      <w:pPr>
        <w:pStyle w:val="ListParagraph"/>
        <w:numPr>
          <w:ilvl w:val="0"/>
          <w:numId w:val="27"/>
        </w:numPr>
        <w:spacing w:after="240" w:line="252" w:lineRule="exact"/>
        <w:rPr>
          <w:bCs/>
          <w:sz w:val="22"/>
          <w:szCs w:val="22"/>
        </w:rPr>
      </w:pPr>
      <w:r>
        <w:rPr>
          <w:bCs/>
          <w:sz w:val="22"/>
          <w:szCs w:val="22"/>
        </w:rPr>
        <w:t>Assist with external audits</w:t>
      </w:r>
      <w:r w:rsidR="005C3E8B">
        <w:rPr>
          <w:bCs/>
          <w:sz w:val="22"/>
          <w:szCs w:val="22"/>
        </w:rPr>
        <w:t xml:space="preserve"> and project closure visits</w:t>
      </w:r>
      <w:r>
        <w:rPr>
          <w:bCs/>
          <w:sz w:val="22"/>
          <w:szCs w:val="22"/>
        </w:rPr>
        <w:t xml:space="preserve"> of the TVCA investment programme; </w:t>
      </w:r>
    </w:p>
    <w:p w:rsidR="00AA2268" w:rsidRPr="00AA2268" w:rsidRDefault="00B20587" w:rsidP="001E01B1">
      <w:pPr>
        <w:pStyle w:val="ListParagraph"/>
        <w:numPr>
          <w:ilvl w:val="0"/>
          <w:numId w:val="27"/>
        </w:numPr>
        <w:spacing w:after="240" w:line="252" w:lineRule="exact"/>
        <w:rPr>
          <w:bCs/>
          <w:sz w:val="22"/>
          <w:szCs w:val="22"/>
        </w:rPr>
      </w:pPr>
      <w:r w:rsidRPr="00B20587">
        <w:rPr>
          <w:bCs/>
          <w:sz w:val="22"/>
          <w:szCs w:val="22"/>
        </w:rPr>
        <w:t>Develop and maintain good working relationships with partners organisations, government and a range of organisations, which can assist in the development and delive</w:t>
      </w:r>
      <w:r w:rsidR="005C3E8B">
        <w:rPr>
          <w:bCs/>
          <w:sz w:val="22"/>
          <w:szCs w:val="22"/>
        </w:rPr>
        <w:t>ry of the Investment Programme;</w:t>
      </w:r>
    </w:p>
    <w:p w:rsidR="00AA2268" w:rsidRDefault="00AA2268" w:rsidP="001E01B1">
      <w:pPr>
        <w:pStyle w:val="ListParagraph"/>
        <w:numPr>
          <w:ilvl w:val="0"/>
          <w:numId w:val="27"/>
        </w:numPr>
        <w:spacing w:after="240" w:line="252" w:lineRule="exact"/>
        <w:rPr>
          <w:bCs/>
          <w:sz w:val="22"/>
          <w:szCs w:val="22"/>
        </w:rPr>
      </w:pPr>
      <w:r w:rsidRPr="00AA2268">
        <w:rPr>
          <w:bCs/>
          <w:sz w:val="22"/>
          <w:szCs w:val="22"/>
        </w:rPr>
        <w:t xml:space="preserve">Contribute to the </w:t>
      </w:r>
      <w:r>
        <w:rPr>
          <w:bCs/>
          <w:sz w:val="22"/>
          <w:szCs w:val="22"/>
        </w:rPr>
        <w:t xml:space="preserve">development and delivery of the Strategic </w:t>
      </w:r>
      <w:r w:rsidRPr="00AA2268">
        <w:rPr>
          <w:bCs/>
          <w:sz w:val="22"/>
          <w:szCs w:val="22"/>
        </w:rPr>
        <w:t>Communication Plan to ensure progress</w:t>
      </w:r>
      <w:r>
        <w:rPr>
          <w:bCs/>
          <w:sz w:val="22"/>
          <w:szCs w:val="22"/>
        </w:rPr>
        <w:t xml:space="preserve"> is communicated effectively to residents and key partners, this includes providing c</w:t>
      </w:r>
      <w:r w:rsidR="005C3E8B">
        <w:rPr>
          <w:bCs/>
          <w:sz w:val="22"/>
          <w:szCs w:val="22"/>
        </w:rPr>
        <w:t>ontent and updating the website;</w:t>
      </w:r>
    </w:p>
    <w:p w:rsidR="00172D2C" w:rsidRPr="00172D2C" w:rsidRDefault="00172D2C" w:rsidP="001E01B1">
      <w:pPr>
        <w:numPr>
          <w:ilvl w:val="0"/>
          <w:numId w:val="27"/>
        </w:numPr>
        <w:spacing w:after="240" w:line="252" w:lineRule="exact"/>
        <w:rPr>
          <w:rFonts w:ascii="Arial" w:hAnsi="Arial" w:cs="Arial"/>
          <w:bCs/>
          <w:sz w:val="22"/>
          <w:szCs w:val="22"/>
        </w:rPr>
      </w:pPr>
      <w:r w:rsidRPr="00172D2C">
        <w:rPr>
          <w:rFonts w:ascii="Arial" w:hAnsi="Arial" w:cs="Arial"/>
          <w:bCs/>
          <w:sz w:val="22"/>
          <w:szCs w:val="22"/>
        </w:rPr>
        <w:t xml:space="preserve">Develop and maintain appropriate systems, policies and procedures and share good practice within the team </w:t>
      </w:r>
      <w:r w:rsidR="005C3E8B">
        <w:rPr>
          <w:rFonts w:ascii="Arial" w:hAnsi="Arial" w:cs="Arial"/>
          <w:bCs/>
          <w:sz w:val="22"/>
          <w:szCs w:val="22"/>
        </w:rPr>
        <w:t xml:space="preserve">and more widely </w:t>
      </w:r>
      <w:r w:rsidRPr="00172D2C">
        <w:rPr>
          <w:rFonts w:ascii="Arial" w:hAnsi="Arial" w:cs="Arial"/>
          <w:bCs/>
          <w:sz w:val="22"/>
          <w:szCs w:val="22"/>
        </w:rPr>
        <w:t>to ensure consistency in approach, and put in place necessary procedures to ensure b</w:t>
      </w:r>
      <w:r w:rsidR="005C3E8B">
        <w:rPr>
          <w:rFonts w:ascii="Arial" w:hAnsi="Arial" w:cs="Arial"/>
          <w:bCs/>
          <w:sz w:val="22"/>
          <w:szCs w:val="22"/>
        </w:rPr>
        <w:t>usiness continuity at all times;</w:t>
      </w:r>
    </w:p>
    <w:p w:rsidR="00780F06" w:rsidRPr="00780F06" w:rsidRDefault="00780F06" w:rsidP="001E01B1">
      <w:pPr>
        <w:numPr>
          <w:ilvl w:val="0"/>
          <w:numId w:val="27"/>
        </w:numPr>
        <w:spacing w:after="240" w:line="252" w:lineRule="exact"/>
        <w:rPr>
          <w:rFonts w:ascii="Arial" w:hAnsi="Arial" w:cs="Arial"/>
          <w:bCs/>
          <w:sz w:val="22"/>
          <w:szCs w:val="22"/>
        </w:rPr>
      </w:pPr>
      <w:r>
        <w:rPr>
          <w:rFonts w:ascii="Arial" w:hAnsi="Arial" w:cs="Arial"/>
          <w:bCs/>
          <w:sz w:val="22"/>
          <w:szCs w:val="22"/>
        </w:rPr>
        <w:t xml:space="preserve">Undertake such personal training as may be deemed necessary to meet the duties and responsibilities of the post. </w:t>
      </w:r>
    </w:p>
    <w:p w:rsidR="00F016A8" w:rsidRPr="00136D22" w:rsidRDefault="00F016A8" w:rsidP="001E01B1">
      <w:pPr>
        <w:numPr>
          <w:ilvl w:val="0"/>
          <w:numId w:val="27"/>
        </w:numPr>
        <w:spacing w:after="240" w:line="252" w:lineRule="exact"/>
        <w:rPr>
          <w:rFonts w:ascii="Arial" w:hAnsi="Arial" w:cs="Arial"/>
          <w:bCs/>
          <w:sz w:val="22"/>
          <w:szCs w:val="22"/>
        </w:rPr>
      </w:pPr>
      <w:r w:rsidRPr="00136D22">
        <w:rPr>
          <w:rFonts w:ascii="Arial" w:hAnsi="Arial" w:cs="Arial"/>
          <w:sz w:val="22"/>
          <w:szCs w:val="22"/>
        </w:rPr>
        <w:t xml:space="preserve">Ensure compliance with Corporate Governance procedures, procurement regulations and the Data Protection Act. </w:t>
      </w:r>
    </w:p>
    <w:p w:rsidR="00F016A8" w:rsidRPr="00136D22" w:rsidRDefault="00F016A8" w:rsidP="001E01B1">
      <w:pPr>
        <w:numPr>
          <w:ilvl w:val="0"/>
          <w:numId w:val="27"/>
        </w:numPr>
        <w:spacing w:after="240" w:line="252" w:lineRule="exact"/>
        <w:rPr>
          <w:rFonts w:ascii="Arial" w:hAnsi="Arial" w:cs="Arial"/>
          <w:bCs/>
          <w:sz w:val="22"/>
          <w:szCs w:val="22"/>
        </w:rPr>
      </w:pPr>
      <w:r w:rsidRPr="00136D22">
        <w:rPr>
          <w:rFonts w:ascii="Arial" w:hAnsi="Arial" w:cs="Arial"/>
          <w:sz w:val="22"/>
          <w:szCs w:val="22"/>
        </w:rPr>
        <w:t xml:space="preserve">Work flexibly and undertake such other duties and responsibilities commensurate with the grading and nature of the post. </w:t>
      </w:r>
    </w:p>
    <w:p w:rsidR="00F016A8" w:rsidRPr="00881D3B" w:rsidRDefault="00F016A8" w:rsidP="001E01B1">
      <w:pPr>
        <w:numPr>
          <w:ilvl w:val="0"/>
          <w:numId w:val="27"/>
        </w:numPr>
        <w:spacing w:after="240" w:line="252" w:lineRule="exact"/>
        <w:rPr>
          <w:rFonts w:ascii="Arial" w:hAnsi="Arial" w:cs="Arial"/>
          <w:bCs/>
          <w:sz w:val="22"/>
          <w:szCs w:val="22"/>
        </w:rPr>
      </w:pPr>
      <w:r w:rsidRPr="00136D22">
        <w:rPr>
          <w:rFonts w:ascii="Arial" w:hAnsi="Arial" w:cs="Arial"/>
          <w:sz w:val="22"/>
          <w:szCs w:val="22"/>
        </w:rPr>
        <w:t>Take reasonable care of your own health &amp; safety and co-operate with management, so far as is necessary, to enable compliance with the authority’s health and safety rules and legislative requirements</w:t>
      </w:r>
      <w:r w:rsidRPr="00136D22">
        <w:rPr>
          <w:rFonts w:ascii="Arial" w:hAnsi="Arial" w:cs="Arial"/>
        </w:rPr>
        <w:t>.</w:t>
      </w:r>
    </w:p>
    <w:p w:rsidR="00881D3B" w:rsidRPr="00881D3B" w:rsidRDefault="00881D3B" w:rsidP="001E01B1">
      <w:pPr>
        <w:numPr>
          <w:ilvl w:val="0"/>
          <w:numId w:val="27"/>
        </w:numPr>
        <w:spacing w:after="240" w:line="252" w:lineRule="exact"/>
        <w:rPr>
          <w:rFonts w:ascii="Arial" w:hAnsi="Arial" w:cs="Arial"/>
          <w:bCs/>
          <w:sz w:val="20"/>
          <w:szCs w:val="22"/>
        </w:rPr>
      </w:pPr>
      <w:r w:rsidRPr="00881D3B">
        <w:rPr>
          <w:rFonts w:ascii="Arial" w:hAnsi="Arial" w:cs="Arial"/>
          <w:sz w:val="22"/>
        </w:rPr>
        <w:t xml:space="preserve">To ensure that all clients both internal and external, receive a consistently high quality level of service. </w:t>
      </w:r>
    </w:p>
    <w:p w:rsidR="00F016A8" w:rsidRDefault="00F016A8" w:rsidP="004A3DC9">
      <w:pPr>
        <w:ind w:left="2552" w:right="1440"/>
        <w:jc w:val="center"/>
        <w:rPr>
          <w:rFonts w:ascii="Arial" w:hAnsi="Arial" w:cs="Arial"/>
          <w:b/>
          <w:sz w:val="36"/>
          <w:szCs w:val="36"/>
        </w:rPr>
      </w:pPr>
    </w:p>
    <w:p w:rsidR="00F016A8" w:rsidRDefault="00F016A8" w:rsidP="004A3DC9">
      <w:pPr>
        <w:ind w:left="2552" w:right="1440"/>
        <w:jc w:val="center"/>
        <w:rPr>
          <w:rFonts w:ascii="Arial" w:hAnsi="Arial" w:cs="Arial"/>
          <w:b/>
          <w:sz w:val="36"/>
          <w:szCs w:val="36"/>
        </w:rPr>
      </w:pPr>
    </w:p>
    <w:p w:rsidR="00F016A8" w:rsidRDefault="00F016A8" w:rsidP="004A3DC9">
      <w:pPr>
        <w:ind w:left="2552" w:right="1440"/>
        <w:jc w:val="center"/>
        <w:rPr>
          <w:rFonts w:ascii="Arial" w:hAnsi="Arial" w:cs="Arial"/>
          <w:b/>
          <w:sz w:val="36"/>
          <w:szCs w:val="36"/>
        </w:rPr>
      </w:pPr>
    </w:p>
    <w:p w:rsidR="00F016A8" w:rsidRDefault="00F016A8" w:rsidP="004A3DC9">
      <w:pPr>
        <w:ind w:left="2552" w:right="1440"/>
        <w:jc w:val="center"/>
        <w:rPr>
          <w:rFonts w:ascii="Arial" w:hAnsi="Arial" w:cs="Arial"/>
          <w:b/>
          <w:sz w:val="36"/>
          <w:szCs w:val="36"/>
        </w:rPr>
      </w:pPr>
    </w:p>
    <w:p w:rsidR="00AA2268" w:rsidRDefault="00AA2268" w:rsidP="004A3DC9">
      <w:pPr>
        <w:ind w:left="2552" w:right="1440"/>
        <w:jc w:val="center"/>
        <w:rPr>
          <w:rFonts w:ascii="Arial" w:hAnsi="Arial" w:cs="Arial"/>
          <w:b/>
          <w:sz w:val="36"/>
          <w:szCs w:val="36"/>
        </w:rPr>
      </w:pPr>
    </w:p>
    <w:p w:rsidR="00AA2268" w:rsidRDefault="00AA2268" w:rsidP="007E630F">
      <w:pPr>
        <w:ind w:right="1440"/>
        <w:rPr>
          <w:rFonts w:ascii="Arial" w:hAnsi="Arial" w:cs="Arial"/>
          <w:b/>
          <w:sz w:val="36"/>
          <w:szCs w:val="36"/>
        </w:rPr>
      </w:pPr>
    </w:p>
    <w:sectPr w:rsidR="00AA2268" w:rsidSect="00C21F31">
      <w:headerReference w:type="even" r:id="rId8"/>
      <w:headerReference w:type="default" r:id="rId9"/>
      <w:footerReference w:type="even" r:id="rId10"/>
      <w:footerReference w:type="default" r:id="rId11"/>
      <w:headerReference w:type="first" r:id="rId12"/>
      <w:footerReference w:type="first" r:id="rId13"/>
      <w:pgSz w:w="11906" w:h="16838" w:code="9"/>
      <w:pgMar w:top="284" w:right="1134" w:bottom="28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C25" w:rsidRDefault="002E3C25">
      <w:r>
        <w:separator/>
      </w:r>
    </w:p>
  </w:endnote>
  <w:endnote w:type="continuationSeparator" w:id="0">
    <w:p w:rsidR="002E3C25" w:rsidRDefault="002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0F" w:rsidRDefault="007E6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0F" w:rsidRDefault="007E6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0F" w:rsidRDefault="007E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C25" w:rsidRDefault="002E3C25">
      <w:r>
        <w:separator/>
      </w:r>
    </w:p>
  </w:footnote>
  <w:footnote w:type="continuationSeparator" w:id="0">
    <w:p w:rsidR="002E3C25" w:rsidRDefault="002E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0F" w:rsidRDefault="007E6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10" w:rsidRDefault="008E5910" w:rsidP="00F96990">
    <w:pPr>
      <w:pStyle w:val="Header"/>
      <w:jc w:val="right"/>
    </w:pPr>
    <w:r>
      <w:rPr>
        <w:noProof/>
        <w:lang w:eastAsia="en-GB"/>
      </w:rPr>
      <w:drawing>
        <wp:inline distT="0" distB="0" distL="0" distR="0" wp14:anchorId="46CAA0E4" wp14:editId="668B2125">
          <wp:extent cx="2162175" cy="6790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A-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210" cy="6800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30F" w:rsidRDefault="007E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DC06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F056D"/>
    <w:multiLevelType w:val="hybridMultilevel"/>
    <w:tmpl w:val="C1FA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60EC0"/>
    <w:multiLevelType w:val="hybridMultilevel"/>
    <w:tmpl w:val="A82ADA7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F0653"/>
    <w:multiLevelType w:val="hybridMultilevel"/>
    <w:tmpl w:val="B8D2E4DA"/>
    <w:lvl w:ilvl="0" w:tplc="0809000F">
      <w:start w:val="1"/>
      <w:numFmt w:val="decimal"/>
      <w:lvlText w:val="%1."/>
      <w:lvlJc w:val="left"/>
      <w:pPr>
        <w:ind w:left="1811" w:hanging="360"/>
      </w:p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4" w15:restartNumberingAfterBreak="0">
    <w:nsid w:val="07F27C94"/>
    <w:multiLevelType w:val="hybridMultilevel"/>
    <w:tmpl w:val="0FDA89AA"/>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15:restartNumberingAfterBreak="0">
    <w:nsid w:val="158D6C73"/>
    <w:multiLevelType w:val="hybridMultilevel"/>
    <w:tmpl w:val="32F0A10C"/>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943F82"/>
    <w:multiLevelType w:val="hybridMultilevel"/>
    <w:tmpl w:val="4FEC7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A4F05"/>
    <w:multiLevelType w:val="hybridMultilevel"/>
    <w:tmpl w:val="6A5EF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B80D36"/>
    <w:multiLevelType w:val="multilevel"/>
    <w:tmpl w:val="1E02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F170B"/>
    <w:multiLevelType w:val="hybridMultilevel"/>
    <w:tmpl w:val="7048FBBE"/>
    <w:lvl w:ilvl="0" w:tplc="56706216">
      <w:start w:val="1"/>
      <w:numFmt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33E47204"/>
    <w:multiLevelType w:val="hybridMultilevel"/>
    <w:tmpl w:val="C2CCC3E8"/>
    <w:lvl w:ilvl="0" w:tplc="33409A64">
      <w:start w:val="1"/>
      <w:numFmt w:val="bullet"/>
      <w:lvlText w:val=""/>
      <w:lvlJc w:val="left"/>
      <w:pPr>
        <w:tabs>
          <w:tab w:val="num" w:pos="720"/>
        </w:tabs>
        <w:ind w:left="720" w:hanging="360"/>
      </w:pPr>
      <w:rPr>
        <w:rFonts w:ascii="Symbol" w:hAnsi="Symbol" w:hint="default"/>
        <w:sz w:val="20"/>
      </w:rPr>
    </w:lvl>
    <w:lvl w:ilvl="1" w:tplc="67163ED2" w:tentative="1">
      <w:start w:val="1"/>
      <w:numFmt w:val="bullet"/>
      <w:lvlText w:val="o"/>
      <w:lvlJc w:val="left"/>
      <w:pPr>
        <w:tabs>
          <w:tab w:val="num" w:pos="1440"/>
        </w:tabs>
        <w:ind w:left="1440" w:hanging="360"/>
      </w:pPr>
      <w:rPr>
        <w:rFonts w:ascii="Courier New" w:hAnsi="Courier New" w:hint="default"/>
        <w:sz w:val="20"/>
      </w:rPr>
    </w:lvl>
    <w:lvl w:ilvl="2" w:tplc="6AA6E584" w:tentative="1">
      <w:start w:val="1"/>
      <w:numFmt w:val="bullet"/>
      <w:lvlText w:val=""/>
      <w:lvlJc w:val="left"/>
      <w:pPr>
        <w:tabs>
          <w:tab w:val="num" w:pos="2160"/>
        </w:tabs>
        <w:ind w:left="2160" w:hanging="360"/>
      </w:pPr>
      <w:rPr>
        <w:rFonts w:ascii="Wingdings" w:hAnsi="Wingdings" w:hint="default"/>
        <w:sz w:val="20"/>
      </w:rPr>
    </w:lvl>
    <w:lvl w:ilvl="3" w:tplc="B2ACF94C" w:tentative="1">
      <w:start w:val="1"/>
      <w:numFmt w:val="bullet"/>
      <w:lvlText w:val=""/>
      <w:lvlJc w:val="left"/>
      <w:pPr>
        <w:tabs>
          <w:tab w:val="num" w:pos="2880"/>
        </w:tabs>
        <w:ind w:left="2880" w:hanging="360"/>
      </w:pPr>
      <w:rPr>
        <w:rFonts w:ascii="Wingdings" w:hAnsi="Wingdings" w:hint="default"/>
        <w:sz w:val="20"/>
      </w:rPr>
    </w:lvl>
    <w:lvl w:ilvl="4" w:tplc="84705A84" w:tentative="1">
      <w:start w:val="1"/>
      <w:numFmt w:val="bullet"/>
      <w:lvlText w:val=""/>
      <w:lvlJc w:val="left"/>
      <w:pPr>
        <w:tabs>
          <w:tab w:val="num" w:pos="3600"/>
        </w:tabs>
        <w:ind w:left="3600" w:hanging="360"/>
      </w:pPr>
      <w:rPr>
        <w:rFonts w:ascii="Wingdings" w:hAnsi="Wingdings" w:hint="default"/>
        <w:sz w:val="20"/>
      </w:rPr>
    </w:lvl>
    <w:lvl w:ilvl="5" w:tplc="CD548BC4" w:tentative="1">
      <w:start w:val="1"/>
      <w:numFmt w:val="bullet"/>
      <w:lvlText w:val=""/>
      <w:lvlJc w:val="left"/>
      <w:pPr>
        <w:tabs>
          <w:tab w:val="num" w:pos="4320"/>
        </w:tabs>
        <w:ind w:left="4320" w:hanging="360"/>
      </w:pPr>
      <w:rPr>
        <w:rFonts w:ascii="Wingdings" w:hAnsi="Wingdings" w:hint="default"/>
        <w:sz w:val="20"/>
      </w:rPr>
    </w:lvl>
    <w:lvl w:ilvl="6" w:tplc="7C462430" w:tentative="1">
      <w:start w:val="1"/>
      <w:numFmt w:val="bullet"/>
      <w:lvlText w:val=""/>
      <w:lvlJc w:val="left"/>
      <w:pPr>
        <w:tabs>
          <w:tab w:val="num" w:pos="5040"/>
        </w:tabs>
        <w:ind w:left="5040" w:hanging="360"/>
      </w:pPr>
      <w:rPr>
        <w:rFonts w:ascii="Wingdings" w:hAnsi="Wingdings" w:hint="default"/>
        <w:sz w:val="20"/>
      </w:rPr>
    </w:lvl>
    <w:lvl w:ilvl="7" w:tplc="892E32D8" w:tentative="1">
      <w:start w:val="1"/>
      <w:numFmt w:val="bullet"/>
      <w:lvlText w:val=""/>
      <w:lvlJc w:val="left"/>
      <w:pPr>
        <w:tabs>
          <w:tab w:val="num" w:pos="5760"/>
        </w:tabs>
        <w:ind w:left="5760" w:hanging="360"/>
      </w:pPr>
      <w:rPr>
        <w:rFonts w:ascii="Wingdings" w:hAnsi="Wingdings" w:hint="default"/>
        <w:sz w:val="20"/>
      </w:rPr>
    </w:lvl>
    <w:lvl w:ilvl="8" w:tplc="D436C49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26A7C"/>
    <w:multiLevelType w:val="hybridMultilevel"/>
    <w:tmpl w:val="6374CA84"/>
    <w:lvl w:ilvl="0" w:tplc="7E26DD78">
      <w:start w:val="1"/>
      <w:numFmt w:val="decimal"/>
      <w:lvlText w:val="%1."/>
      <w:lvlJc w:val="left"/>
      <w:pPr>
        <w:ind w:left="1440" w:hanging="360"/>
      </w:pPr>
      <w:rPr>
        <w:rFonts w:hint="default"/>
        <w:b w:val="0"/>
      </w:rPr>
    </w:lvl>
    <w:lvl w:ilvl="1" w:tplc="7E26DD78">
      <w:start w:val="1"/>
      <w:numFmt w:val="decimal"/>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C5419B"/>
    <w:multiLevelType w:val="hybridMultilevel"/>
    <w:tmpl w:val="301621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71918"/>
    <w:multiLevelType w:val="hybridMultilevel"/>
    <w:tmpl w:val="BBFC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D2E28"/>
    <w:multiLevelType w:val="hybridMultilevel"/>
    <w:tmpl w:val="DB90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B235A"/>
    <w:multiLevelType w:val="hybridMultilevel"/>
    <w:tmpl w:val="D43EC8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756F07"/>
    <w:multiLevelType w:val="hybridMultilevel"/>
    <w:tmpl w:val="7ABE6F3E"/>
    <w:lvl w:ilvl="0" w:tplc="04090003">
      <w:start w:val="1"/>
      <w:numFmt w:val="bullet"/>
      <w:lvlText w:val="o"/>
      <w:lvlJc w:val="left"/>
      <w:pPr>
        <w:tabs>
          <w:tab w:val="num" w:pos="900"/>
        </w:tabs>
        <w:ind w:left="900" w:hanging="360"/>
      </w:pPr>
      <w:rPr>
        <w:rFonts w:ascii="Courier New" w:hAnsi="Courier New" w:cs="Aria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9A17045"/>
    <w:multiLevelType w:val="hybridMultilevel"/>
    <w:tmpl w:val="EABCF44A"/>
    <w:lvl w:ilvl="0" w:tplc="4D2E50A4">
      <w:start w:val="10"/>
      <w:numFmt w:val="decimal"/>
      <w:lvlText w:val="%1"/>
      <w:lvlJc w:val="left"/>
      <w:pPr>
        <w:ind w:left="-33" w:hanging="360"/>
      </w:pPr>
      <w:rPr>
        <w:rFonts w:hint="default"/>
        <w:color w:val="auto"/>
        <w:sz w:val="22"/>
      </w:rPr>
    </w:lvl>
    <w:lvl w:ilvl="1" w:tplc="08090019" w:tentative="1">
      <w:start w:val="1"/>
      <w:numFmt w:val="lowerLetter"/>
      <w:lvlText w:val="%2."/>
      <w:lvlJc w:val="left"/>
      <w:pPr>
        <w:ind w:left="687" w:hanging="360"/>
      </w:pPr>
    </w:lvl>
    <w:lvl w:ilvl="2" w:tplc="0809001B" w:tentative="1">
      <w:start w:val="1"/>
      <w:numFmt w:val="lowerRoman"/>
      <w:lvlText w:val="%3."/>
      <w:lvlJc w:val="right"/>
      <w:pPr>
        <w:ind w:left="1407" w:hanging="180"/>
      </w:pPr>
    </w:lvl>
    <w:lvl w:ilvl="3" w:tplc="0809000F" w:tentative="1">
      <w:start w:val="1"/>
      <w:numFmt w:val="decimal"/>
      <w:lvlText w:val="%4."/>
      <w:lvlJc w:val="left"/>
      <w:pPr>
        <w:ind w:left="2127" w:hanging="360"/>
      </w:pPr>
    </w:lvl>
    <w:lvl w:ilvl="4" w:tplc="08090019" w:tentative="1">
      <w:start w:val="1"/>
      <w:numFmt w:val="lowerLetter"/>
      <w:lvlText w:val="%5."/>
      <w:lvlJc w:val="left"/>
      <w:pPr>
        <w:ind w:left="2847" w:hanging="360"/>
      </w:pPr>
    </w:lvl>
    <w:lvl w:ilvl="5" w:tplc="0809001B" w:tentative="1">
      <w:start w:val="1"/>
      <w:numFmt w:val="lowerRoman"/>
      <w:lvlText w:val="%6."/>
      <w:lvlJc w:val="right"/>
      <w:pPr>
        <w:ind w:left="3567" w:hanging="180"/>
      </w:pPr>
    </w:lvl>
    <w:lvl w:ilvl="6" w:tplc="0809000F" w:tentative="1">
      <w:start w:val="1"/>
      <w:numFmt w:val="decimal"/>
      <w:lvlText w:val="%7."/>
      <w:lvlJc w:val="left"/>
      <w:pPr>
        <w:ind w:left="4287" w:hanging="360"/>
      </w:pPr>
    </w:lvl>
    <w:lvl w:ilvl="7" w:tplc="08090019" w:tentative="1">
      <w:start w:val="1"/>
      <w:numFmt w:val="lowerLetter"/>
      <w:lvlText w:val="%8."/>
      <w:lvlJc w:val="left"/>
      <w:pPr>
        <w:ind w:left="5007" w:hanging="360"/>
      </w:pPr>
    </w:lvl>
    <w:lvl w:ilvl="8" w:tplc="0809001B" w:tentative="1">
      <w:start w:val="1"/>
      <w:numFmt w:val="lowerRoman"/>
      <w:lvlText w:val="%9."/>
      <w:lvlJc w:val="right"/>
      <w:pPr>
        <w:ind w:left="5727" w:hanging="180"/>
      </w:pPr>
    </w:lvl>
  </w:abstractNum>
  <w:abstractNum w:abstractNumId="18" w15:restartNumberingAfterBreak="0">
    <w:nsid w:val="4C1F112D"/>
    <w:multiLevelType w:val="hybridMultilevel"/>
    <w:tmpl w:val="A928D840"/>
    <w:lvl w:ilvl="0" w:tplc="7E26DD78">
      <w:start w:val="1"/>
      <w:numFmt w:val="decimal"/>
      <w:lvlText w:val="%1."/>
      <w:lvlJc w:val="left"/>
      <w:pPr>
        <w:ind w:left="1440" w:hanging="360"/>
      </w:pPr>
      <w:rPr>
        <w:rFonts w:hint="default"/>
        <w:b w:val="0"/>
      </w:rPr>
    </w:lvl>
    <w:lvl w:ilvl="1" w:tplc="7E26DD78">
      <w:start w:val="1"/>
      <w:numFmt w:val="decimal"/>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FB104BB"/>
    <w:multiLevelType w:val="hybridMultilevel"/>
    <w:tmpl w:val="6C20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97DF2"/>
    <w:multiLevelType w:val="hybridMultilevel"/>
    <w:tmpl w:val="05303F40"/>
    <w:lvl w:ilvl="0" w:tplc="7E26DD78">
      <w:start w:val="1"/>
      <w:numFmt w:val="decimal"/>
      <w:lvlText w:val="%1."/>
      <w:lvlJc w:val="left"/>
      <w:pPr>
        <w:ind w:left="1440" w:hanging="360"/>
      </w:pPr>
      <w:rPr>
        <w:rFonts w:hint="default"/>
        <w:b w:val="0"/>
      </w:rPr>
    </w:lvl>
    <w:lvl w:ilvl="1" w:tplc="08090019">
      <w:start w:val="1"/>
      <w:numFmt w:val="lowerLetter"/>
      <w:lvlText w:val="%2."/>
      <w:lvlJc w:val="left"/>
      <w:pPr>
        <w:ind w:left="2160" w:hanging="360"/>
      </w:pPr>
      <w:rPr>
        <w:rFonts w:hint="default"/>
        <w:b w:val="0"/>
      </w:rPr>
    </w:lvl>
    <w:lvl w:ilvl="2" w:tplc="08090005">
      <w:start w:val="1"/>
      <w:numFmt w:val="bullet"/>
      <w:lvlText w:val=""/>
      <w:lvlJc w:val="left"/>
      <w:pPr>
        <w:ind w:left="2880" w:hanging="360"/>
      </w:pPr>
      <w:rPr>
        <w:rFonts w:ascii="Wingdings" w:hAnsi="Wingdings" w:hint="default"/>
      </w:rPr>
    </w:lvl>
    <w:lvl w:ilvl="3" w:tplc="98264E82">
      <w:start w:val="1"/>
      <w:numFmt w:val="lowerLetter"/>
      <w:lvlText w:val="%4."/>
      <w:lvlJc w:val="left"/>
      <w:pPr>
        <w:ind w:left="3600" w:hanging="360"/>
      </w:pPr>
      <w:rPr>
        <w:rFonts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4A0FE1"/>
    <w:multiLevelType w:val="hybridMultilevel"/>
    <w:tmpl w:val="8DFC8E88"/>
    <w:lvl w:ilvl="0" w:tplc="0809000F">
      <w:start w:val="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703D8A"/>
    <w:multiLevelType w:val="hybridMultilevel"/>
    <w:tmpl w:val="4A0C0124"/>
    <w:lvl w:ilvl="0" w:tplc="F25C398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7705B9"/>
    <w:multiLevelType w:val="hybridMultilevel"/>
    <w:tmpl w:val="4CBADFAC"/>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E7152"/>
    <w:multiLevelType w:val="hybridMultilevel"/>
    <w:tmpl w:val="201666CC"/>
    <w:lvl w:ilvl="0" w:tplc="0809000F">
      <w:start w:val="1"/>
      <w:numFmt w:val="decimal"/>
      <w:lvlText w:val="%1."/>
      <w:lvlJc w:val="left"/>
      <w:pPr>
        <w:ind w:left="1811" w:hanging="360"/>
      </w:p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25" w15:restartNumberingAfterBreak="0">
    <w:nsid w:val="675864B0"/>
    <w:multiLevelType w:val="hybridMultilevel"/>
    <w:tmpl w:val="13EEEB74"/>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Aria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Aria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DB87831"/>
    <w:multiLevelType w:val="hybridMultilevel"/>
    <w:tmpl w:val="68A2A998"/>
    <w:lvl w:ilvl="0" w:tplc="0809000F">
      <w:start w:val="1"/>
      <w:numFmt w:val="decimal"/>
      <w:lvlText w:val="%1."/>
      <w:lvlJc w:val="left"/>
      <w:pPr>
        <w:ind w:left="1811" w:hanging="360"/>
      </w:p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27" w15:restartNumberingAfterBreak="0">
    <w:nsid w:val="785701DB"/>
    <w:multiLevelType w:val="hybridMultilevel"/>
    <w:tmpl w:val="DCA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B4328"/>
    <w:multiLevelType w:val="hybridMultilevel"/>
    <w:tmpl w:val="53CC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16"/>
  </w:num>
  <w:num w:numId="5">
    <w:abstractNumId w:val="25"/>
  </w:num>
  <w:num w:numId="6">
    <w:abstractNumId w:val="5"/>
  </w:num>
  <w:num w:numId="7">
    <w:abstractNumId w:val="23"/>
  </w:num>
  <w:num w:numId="8">
    <w:abstractNumId w:val="2"/>
  </w:num>
  <w:num w:numId="9">
    <w:abstractNumId w:val="22"/>
  </w:num>
  <w:num w:numId="10">
    <w:abstractNumId w:val="13"/>
  </w:num>
  <w:num w:numId="11">
    <w:abstractNumId w:val="15"/>
  </w:num>
  <w:num w:numId="12">
    <w:abstractNumId w:val="12"/>
  </w:num>
  <w:num w:numId="13">
    <w:abstractNumId w:val="21"/>
  </w:num>
  <w:num w:numId="14">
    <w:abstractNumId w:val="0"/>
  </w:num>
  <w:num w:numId="15">
    <w:abstractNumId w:val="19"/>
  </w:num>
  <w:num w:numId="16">
    <w:abstractNumId w:val="14"/>
  </w:num>
  <w:num w:numId="17">
    <w:abstractNumId w:val="27"/>
  </w:num>
  <w:num w:numId="18">
    <w:abstractNumId w:val="1"/>
  </w:num>
  <w:num w:numId="19">
    <w:abstractNumId w:val="6"/>
  </w:num>
  <w:num w:numId="20">
    <w:abstractNumId w:val="4"/>
  </w:num>
  <w:num w:numId="21">
    <w:abstractNumId w:val="7"/>
  </w:num>
  <w:num w:numId="22">
    <w:abstractNumId w:val="18"/>
  </w:num>
  <w:num w:numId="23">
    <w:abstractNumId w:val="17"/>
  </w:num>
  <w:num w:numId="24">
    <w:abstractNumId w:val="28"/>
  </w:num>
  <w:num w:numId="25">
    <w:abstractNumId w:val="11"/>
  </w:num>
  <w:num w:numId="26">
    <w:abstractNumId w:val="20"/>
  </w:num>
  <w:num w:numId="27">
    <w:abstractNumId w:val="3"/>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F07"/>
    <w:rsid w:val="000051C8"/>
    <w:rsid w:val="0001329B"/>
    <w:rsid w:val="0002702E"/>
    <w:rsid w:val="000401B7"/>
    <w:rsid w:val="00042452"/>
    <w:rsid w:val="0006388F"/>
    <w:rsid w:val="0007702B"/>
    <w:rsid w:val="000957E1"/>
    <w:rsid w:val="000E0D6D"/>
    <w:rsid w:val="00100FE9"/>
    <w:rsid w:val="00110F07"/>
    <w:rsid w:val="001202C4"/>
    <w:rsid w:val="001275FA"/>
    <w:rsid w:val="0013523D"/>
    <w:rsid w:val="00172D2C"/>
    <w:rsid w:val="001B2943"/>
    <w:rsid w:val="001D4DAD"/>
    <w:rsid w:val="001D590E"/>
    <w:rsid w:val="001E01B1"/>
    <w:rsid w:val="001F3F9B"/>
    <w:rsid w:val="001F4E39"/>
    <w:rsid w:val="001F4FD7"/>
    <w:rsid w:val="00207489"/>
    <w:rsid w:val="00213A5A"/>
    <w:rsid w:val="002254B1"/>
    <w:rsid w:val="002A6641"/>
    <w:rsid w:val="002B6433"/>
    <w:rsid w:val="002C2F77"/>
    <w:rsid w:val="002E3C25"/>
    <w:rsid w:val="002F3D33"/>
    <w:rsid w:val="0030062D"/>
    <w:rsid w:val="00301D79"/>
    <w:rsid w:val="00306D49"/>
    <w:rsid w:val="00315B96"/>
    <w:rsid w:val="00325F59"/>
    <w:rsid w:val="00334F75"/>
    <w:rsid w:val="0035633C"/>
    <w:rsid w:val="003C224F"/>
    <w:rsid w:val="003D2FFA"/>
    <w:rsid w:val="00413D26"/>
    <w:rsid w:val="004441B2"/>
    <w:rsid w:val="00465EC5"/>
    <w:rsid w:val="00471529"/>
    <w:rsid w:val="00491126"/>
    <w:rsid w:val="004917D2"/>
    <w:rsid w:val="004A22C2"/>
    <w:rsid w:val="004A3DC9"/>
    <w:rsid w:val="004B18CE"/>
    <w:rsid w:val="004C6ED0"/>
    <w:rsid w:val="004D6914"/>
    <w:rsid w:val="00502AA8"/>
    <w:rsid w:val="00515F7A"/>
    <w:rsid w:val="005258C6"/>
    <w:rsid w:val="00543AF3"/>
    <w:rsid w:val="00551048"/>
    <w:rsid w:val="00554175"/>
    <w:rsid w:val="0057779C"/>
    <w:rsid w:val="00581104"/>
    <w:rsid w:val="00590AE7"/>
    <w:rsid w:val="005C3E8B"/>
    <w:rsid w:val="005E786C"/>
    <w:rsid w:val="00611597"/>
    <w:rsid w:val="0061608F"/>
    <w:rsid w:val="006444D9"/>
    <w:rsid w:val="00664C11"/>
    <w:rsid w:val="00684597"/>
    <w:rsid w:val="006C6A03"/>
    <w:rsid w:val="006D15F5"/>
    <w:rsid w:val="006D2086"/>
    <w:rsid w:val="006D30A5"/>
    <w:rsid w:val="006D36E2"/>
    <w:rsid w:val="00767349"/>
    <w:rsid w:val="00772367"/>
    <w:rsid w:val="00780F06"/>
    <w:rsid w:val="00793EF1"/>
    <w:rsid w:val="007C16FC"/>
    <w:rsid w:val="007E630F"/>
    <w:rsid w:val="007F610F"/>
    <w:rsid w:val="00802A2E"/>
    <w:rsid w:val="00806288"/>
    <w:rsid w:val="008170E7"/>
    <w:rsid w:val="008243AC"/>
    <w:rsid w:val="00833B8B"/>
    <w:rsid w:val="0085597F"/>
    <w:rsid w:val="00863C8F"/>
    <w:rsid w:val="00874923"/>
    <w:rsid w:val="008766FF"/>
    <w:rsid w:val="00881D3B"/>
    <w:rsid w:val="008B3C1A"/>
    <w:rsid w:val="008C62F0"/>
    <w:rsid w:val="008E5910"/>
    <w:rsid w:val="00924761"/>
    <w:rsid w:val="00941E4F"/>
    <w:rsid w:val="0097057A"/>
    <w:rsid w:val="00975122"/>
    <w:rsid w:val="009800E4"/>
    <w:rsid w:val="009B1D45"/>
    <w:rsid w:val="009C4FE5"/>
    <w:rsid w:val="00A14CD8"/>
    <w:rsid w:val="00A31196"/>
    <w:rsid w:val="00A3328F"/>
    <w:rsid w:val="00A83809"/>
    <w:rsid w:val="00A95F01"/>
    <w:rsid w:val="00AA2268"/>
    <w:rsid w:val="00AD12E1"/>
    <w:rsid w:val="00AF444F"/>
    <w:rsid w:val="00B00B38"/>
    <w:rsid w:val="00B20587"/>
    <w:rsid w:val="00B333E2"/>
    <w:rsid w:val="00B50A9B"/>
    <w:rsid w:val="00B54C92"/>
    <w:rsid w:val="00B9505F"/>
    <w:rsid w:val="00BA1854"/>
    <w:rsid w:val="00BA6259"/>
    <w:rsid w:val="00BB2A36"/>
    <w:rsid w:val="00C06676"/>
    <w:rsid w:val="00C078ED"/>
    <w:rsid w:val="00C21F31"/>
    <w:rsid w:val="00C43EED"/>
    <w:rsid w:val="00CC4A08"/>
    <w:rsid w:val="00CC4E0F"/>
    <w:rsid w:val="00CF256C"/>
    <w:rsid w:val="00CF6318"/>
    <w:rsid w:val="00CF77C0"/>
    <w:rsid w:val="00D35A26"/>
    <w:rsid w:val="00D36F72"/>
    <w:rsid w:val="00D56598"/>
    <w:rsid w:val="00D712B0"/>
    <w:rsid w:val="00D9597B"/>
    <w:rsid w:val="00DB7122"/>
    <w:rsid w:val="00DD0145"/>
    <w:rsid w:val="00DF39F4"/>
    <w:rsid w:val="00DF677F"/>
    <w:rsid w:val="00E56242"/>
    <w:rsid w:val="00E83652"/>
    <w:rsid w:val="00E9290F"/>
    <w:rsid w:val="00E96FCD"/>
    <w:rsid w:val="00EB5138"/>
    <w:rsid w:val="00EB56E8"/>
    <w:rsid w:val="00EB6911"/>
    <w:rsid w:val="00F016A8"/>
    <w:rsid w:val="00F204F8"/>
    <w:rsid w:val="00F2622B"/>
    <w:rsid w:val="00F54382"/>
    <w:rsid w:val="00F57880"/>
    <w:rsid w:val="00F877C3"/>
    <w:rsid w:val="00F92496"/>
    <w:rsid w:val="00F96990"/>
    <w:rsid w:val="00FA17BC"/>
    <w:rsid w:val="00FA4FF6"/>
    <w:rsid w:val="00FB46F0"/>
    <w:rsid w:val="00FB7B26"/>
    <w:rsid w:val="00FC0F57"/>
    <w:rsid w:val="00FC6F6D"/>
    <w:rsid w:val="00FF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C958B"/>
  <w15:docId w15:val="{43FBD608-49CA-4884-9591-3217682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lang w:val="x-none"/>
    </w:rPr>
  </w:style>
  <w:style w:type="paragraph" w:styleId="Heading2">
    <w:name w:val="heading 2"/>
    <w:basedOn w:val="Normal"/>
    <w:next w:val="Normal"/>
    <w:qFormat/>
    <w:pPr>
      <w:keepNext/>
      <w:ind w:left="1080" w:right="1182"/>
      <w:jc w:val="both"/>
      <w:outlineLvl w:val="1"/>
    </w:pPr>
    <w:rPr>
      <w:rFonts w:ascii="Arial" w:hAnsi="Arial" w:cs="Arial"/>
      <w:b/>
      <w:iCs/>
      <w:color w:val="003366"/>
    </w:rPr>
  </w:style>
  <w:style w:type="paragraph" w:styleId="Heading3">
    <w:name w:val="heading 3"/>
    <w:basedOn w:val="Normal"/>
    <w:next w:val="Normal"/>
    <w:qFormat/>
    <w:pPr>
      <w:keepNext/>
      <w:ind w:left="1080" w:right="1182" w:hanging="720"/>
      <w:jc w:val="center"/>
      <w:outlineLvl w:val="2"/>
    </w:pPr>
    <w:rPr>
      <w:rFonts w:ascii="Arial" w:hAnsi="Arial"/>
      <w:b/>
      <w:bCs/>
      <w:color w:val="0033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paragraph" w:customStyle="1" w:styleId="Subsectionheading">
    <w:name w:val="Sub section heading"/>
    <w:basedOn w:val="Normal"/>
    <w:pPr>
      <w:keepNext/>
      <w:keepLines/>
      <w:spacing w:after="240"/>
      <w:ind w:hanging="851"/>
    </w:pPr>
    <w:rPr>
      <w:b/>
      <w:szCs w:val="20"/>
    </w:rPr>
  </w:style>
  <w:style w:type="paragraph" w:customStyle="1" w:styleId="Bulletedlist">
    <w:name w:val="Bulleted list"/>
    <w:pPr>
      <w:ind w:left="851" w:right="851" w:hanging="284"/>
      <w:jc w:val="both"/>
    </w:pPr>
    <w:rPr>
      <w:sz w:val="22"/>
      <w:lang w:eastAsia="en-US"/>
    </w:rPr>
  </w:style>
  <w:style w:type="paragraph" w:styleId="BodyText">
    <w:name w:val="Body Text"/>
    <w:basedOn w:val="Normal"/>
    <w:pPr>
      <w:overflowPunct w:val="0"/>
      <w:autoSpaceDE w:val="0"/>
      <w:autoSpaceDN w:val="0"/>
      <w:adjustRightInd w:val="0"/>
      <w:spacing w:before="100" w:beforeAutospacing="1" w:after="120"/>
      <w:jc w:val="both"/>
      <w:textAlignment w:val="baseline"/>
    </w:pPr>
    <w:rPr>
      <w:rFonts w:ascii="Arial" w:hAnsi="Arial" w:cs="Arial"/>
      <w:szCs w:val="20"/>
    </w:rPr>
  </w:style>
  <w:style w:type="paragraph" w:styleId="Caption">
    <w:name w:val="caption"/>
    <w:basedOn w:val="Normal"/>
    <w:next w:val="Normal"/>
    <w:qFormat/>
    <w:pPr>
      <w:overflowPunct w:val="0"/>
      <w:autoSpaceDE w:val="0"/>
      <w:autoSpaceDN w:val="0"/>
      <w:adjustRightInd w:val="0"/>
      <w:jc w:val="center"/>
      <w:textAlignment w:val="baseline"/>
    </w:pPr>
    <w:rPr>
      <w:b/>
      <w:sz w:val="28"/>
      <w:szCs w:val="20"/>
    </w:rPr>
  </w:style>
  <w:style w:type="paragraph" w:styleId="BodyTextIndent">
    <w:name w:val="Body Text Indent"/>
    <w:basedOn w:val="Normal"/>
    <w:pPr>
      <w:ind w:left="720" w:hanging="720"/>
      <w:jc w:val="both"/>
    </w:pPr>
    <w:rPr>
      <w:rFonts w:ascii="Arial" w:hAnsi="Arial"/>
      <w:sz w:val="22"/>
      <w:szCs w:val="20"/>
    </w:rPr>
  </w:style>
  <w:style w:type="paragraph" w:customStyle="1" w:styleId="ColorfulList-Accent11">
    <w:name w:val="Colorful List - Accent 11"/>
    <w:basedOn w:val="Normal"/>
    <w:qFormat/>
    <w:pPr>
      <w:ind w:left="720"/>
    </w:pPr>
    <w:rPr>
      <w:rFonts w:ascii="Calibri" w:hAnsi="Calibri"/>
      <w:sz w:val="22"/>
      <w:szCs w:val="22"/>
    </w:rPr>
  </w:style>
  <w:style w:type="paragraph" w:customStyle="1" w:styleId="Default">
    <w:name w:val="Default"/>
    <w:rsid w:val="00543AF3"/>
    <w:pPr>
      <w:autoSpaceDE w:val="0"/>
      <w:autoSpaceDN w:val="0"/>
      <w:adjustRightInd w:val="0"/>
    </w:pPr>
    <w:rPr>
      <w:rFonts w:ascii="Arial" w:hAnsi="Arial" w:cs="Arial"/>
      <w:color w:val="000000"/>
      <w:sz w:val="24"/>
      <w:szCs w:val="24"/>
      <w:lang w:bidi="ks-Deva"/>
    </w:rPr>
  </w:style>
  <w:style w:type="paragraph" w:styleId="ListParagraph">
    <w:name w:val="List Paragraph"/>
    <w:basedOn w:val="Normal"/>
    <w:link w:val="ListParagraphChar"/>
    <w:uiPriority w:val="34"/>
    <w:qFormat/>
    <w:rsid w:val="00543AF3"/>
    <w:pPr>
      <w:ind w:left="720"/>
    </w:pPr>
    <w:rPr>
      <w:rFonts w:ascii="Arial" w:hAnsi="Arial" w:cs="Arial"/>
      <w:lang w:eastAsia="en-GB"/>
    </w:rPr>
  </w:style>
  <w:style w:type="paragraph" w:styleId="NoSpacing">
    <w:name w:val="No Spacing"/>
    <w:uiPriority w:val="1"/>
    <w:qFormat/>
    <w:rsid w:val="0002702E"/>
    <w:rPr>
      <w:rFonts w:ascii="Calibri" w:eastAsia="Calibri" w:hAnsi="Calibri"/>
      <w:sz w:val="22"/>
      <w:szCs w:val="22"/>
      <w:lang w:eastAsia="en-US"/>
    </w:rPr>
  </w:style>
  <w:style w:type="paragraph" w:styleId="ListBullet">
    <w:name w:val="List Bullet"/>
    <w:basedOn w:val="Normal"/>
    <w:rsid w:val="0002702E"/>
    <w:pPr>
      <w:numPr>
        <w:numId w:val="14"/>
      </w:numPr>
      <w:contextualSpacing/>
    </w:pPr>
  </w:style>
  <w:style w:type="character" w:customStyle="1" w:styleId="Heading1Char">
    <w:name w:val="Heading 1 Char"/>
    <w:link w:val="Heading1"/>
    <w:rsid w:val="00FC6F6D"/>
    <w:rPr>
      <w:b/>
      <w:bCs/>
      <w:sz w:val="24"/>
      <w:szCs w:val="24"/>
      <w:lang w:eastAsia="en-US"/>
    </w:rPr>
  </w:style>
  <w:style w:type="paragraph" w:customStyle="1" w:styleId="xl31">
    <w:name w:val="xl31"/>
    <w:basedOn w:val="Normal"/>
    <w:rsid w:val="00F204F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lang w:val="en-US"/>
    </w:rPr>
  </w:style>
  <w:style w:type="paragraph" w:styleId="BalloonText">
    <w:name w:val="Balloon Text"/>
    <w:basedOn w:val="Normal"/>
    <w:link w:val="BalloonTextChar"/>
    <w:rsid w:val="00D56598"/>
    <w:rPr>
      <w:rFonts w:ascii="Tahoma" w:hAnsi="Tahoma"/>
      <w:sz w:val="16"/>
      <w:szCs w:val="16"/>
      <w:lang w:val="x-none"/>
    </w:rPr>
  </w:style>
  <w:style w:type="character" w:customStyle="1" w:styleId="BalloonTextChar">
    <w:name w:val="Balloon Text Char"/>
    <w:link w:val="BalloonText"/>
    <w:rsid w:val="00D56598"/>
    <w:rPr>
      <w:rFonts w:ascii="Tahoma" w:hAnsi="Tahoma" w:cs="Tahoma"/>
      <w:sz w:val="16"/>
      <w:szCs w:val="16"/>
      <w:lang w:eastAsia="en-US"/>
    </w:rPr>
  </w:style>
  <w:style w:type="paragraph" w:customStyle="1" w:styleId="xl29">
    <w:name w:val="xl29"/>
    <w:basedOn w:val="Normal"/>
    <w:rsid w:val="00806288"/>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lang w:val="en-US"/>
    </w:rPr>
  </w:style>
  <w:style w:type="paragraph" w:styleId="BodyText2">
    <w:name w:val="Body Text 2"/>
    <w:basedOn w:val="Normal"/>
    <w:link w:val="BodyText2Char"/>
    <w:rsid w:val="00806288"/>
    <w:pPr>
      <w:spacing w:after="120" w:line="480" w:lineRule="auto"/>
    </w:pPr>
    <w:rPr>
      <w:lang w:val="en-US"/>
    </w:rPr>
  </w:style>
  <w:style w:type="character" w:customStyle="1" w:styleId="BodyText2Char">
    <w:name w:val="Body Text 2 Char"/>
    <w:link w:val="BodyText2"/>
    <w:rsid w:val="00806288"/>
    <w:rPr>
      <w:sz w:val="24"/>
      <w:szCs w:val="24"/>
      <w:lang w:val="en-US" w:eastAsia="en-US"/>
    </w:rPr>
  </w:style>
  <w:style w:type="character" w:customStyle="1" w:styleId="ListParagraphChar">
    <w:name w:val="List Paragraph Char"/>
    <w:link w:val="ListParagraph"/>
    <w:uiPriority w:val="34"/>
    <w:rsid w:val="0085597F"/>
    <w:rPr>
      <w:rFonts w:ascii="Arial" w:hAnsi="Arial" w:cs="Arial"/>
      <w:sz w:val="24"/>
      <w:szCs w:val="24"/>
    </w:rPr>
  </w:style>
  <w:style w:type="character" w:styleId="Hyperlink">
    <w:name w:val="Hyperlink"/>
    <w:rsid w:val="00855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A3F8-10E8-46F0-A937-46BF8F19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DEBRIEF NOTES</vt:lpstr>
    </vt:vector>
  </TitlesOfParts>
  <Company>JSU</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DEBRIEF NOTES</dc:title>
  <dc:creator>Kerry Jonas</dc:creator>
  <cp:lastModifiedBy>Ellis McBride</cp:lastModifiedBy>
  <cp:revision>3</cp:revision>
  <cp:lastPrinted>2019-04-29T13:59:00Z</cp:lastPrinted>
  <dcterms:created xsi:type="dcterms:W3CDTF">2020-09-02T12:25:00Z</dcterms:created>
  <dcterms:modified xsi:type="dcterms:W3CDTF">2020-09-06T23:52:00Z</dcterms:modified>
</cp:coreProperties>
</file>