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6" w:rsidRPr="00D70065" w:rsidRDefault="004B4941" w:rsidP="004B4941">
      <w:pPr>
        <w:ind w:right="-290"/>
        <w:rPr>
          <w:rFonts w:ascii="Calibri" w:hAnsi="Calibri"/>
          <w:b/>
          <w:color w:val="1F497D" w:themeColor="text2"/>
          <w:sz w:val="32"/>
          <w:szCs w:val="32"/>
        </w:rPr>
      </w:pPr>
      <w:bookmarkStart w:id="0" w:name="_GoBack"/>
      <w:bookmarkEnd w:id="0"/>
      <w:r w:rsidRPr="00D70065">
        <w:rPr>
          <w:rFonts w:cs="Univers-CondensedBold"/>
          <w:b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86C1CEE" wp14:editId="169EB3E6">
            <wp:simplePos x="0" y="0"/>
            <wp:positionH relativeFrom="margin">
              <wp:posOffset>4781550</wp:posOffset>
            </wp:positionH>
            <wp:positionV relativeFrom="margin">
              <wp:posOffset>-143510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C5" w:rsidRPr="00D70065">
        <w:rPr>
          <w:rFonts w:ascii="Calibri" w:hAnsi="Calibri" w:cs="Calibri"/>
          <w:b/>
          <w:color w:val="1F497D" w:themeColor="text2"/>
          <w:sz w:val="28"/>
          <w:szCs w:val="28"/>
        </w:rPr>
        <w:t>Mortimer Community College</w:t>
      </w:r>
    </w:p>
    <w:p w:rsidR="005A6576" w:rsidRPr="00D70065" w:rsidRDefault="005A6576" w:rsidP="004B4941">
      <w:pPr>
        <w:ind w:left="720" w:hanging="720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D70065">
        <w:rPr>
          <w:rFonts w:ascii="Calibri" w:hAnsi="Calibri" w:cs="Calibri"/>
          <w:b/>
          <w:color w:val="1F497D" w:themeColor="text2"/>
          <w:sz w:val="28"/>
          <w:szCs w:val="28"/>
        </w:rPr>
        <w:t>Job Description</w:t>
      </w:r>
    </w:p>
    <w:p w:rsidR="004B4941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4B4941" w:rsidRPr="00133F2E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5A6576" w:rsidRPr="003C3AD8" w:rsidRDefault="005A6576" w:rsidP="005A6576">
      <w:pPr>
        <w:ind w:left="720" w:hanging="720"/>
        <w:jc w:val="center"/>
        <w:rPr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82"/>
        <w:gridCol w:w="1908"/>
        <w:gridCol w:w="2808"/>
      </w:tblGrid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Title: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5813" w:rsidRDefault="00827242" w:rsidP="0064190B">
            <w:pPr>
              <w:pStyle w:val="Label"/>
              <w:rPr>
                <w:b w:val="0"/>
                <w:color w:val="1F497D" w:themeColor="text2"/>
                <w:szCs w:val="20"/>
                <w:lang w:val="en-GB"/>
              </w:rPr>
            </w:pPr>
            <w:r>
              <w:rPr>
                <w:b w:val="0"/>
                <w:color w:val="1F497D" w:themeColor="text2"/>
                <w:szCs w:val="20"/>
                <w:lang w:val="en-GB"/>
              </w:rPr>
              <w:t>Faculty Leader</w:t>
            </w:r>
          </w:p>
          <w:p w:rsidR="005A6576" w:rsidRPr="003C3AD8" w:rsidRDefault="005A6576" w:rsidP="0064190B">
            <w:pPr>
              <w:pStyle w:val="Label"/>
              <w:rPr>
                <w:b w:val="0"/>
                <w:szCs w:val="20"/>
                <w:lang w:val="en-GB"/>
              </w:rPr>
            </w:pP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Department/Group: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191113" w:rsidRDefault="009E328D" w:rsidP="0064190B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Maths</w:t>
            </w:r>
          </w:p>
        </w:tc>
      </w:tr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Level/Salary Range: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631698" w:rsidRDefault="00BF132C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TLR</w:t>
            </w: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Reporting to: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856EAD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SLT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Safer Recruitment Statement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26EC5" w:rsidP="0064190B">
            <w:pPr>
              <w:pStyle w:val="Label"/>
              <w:rPr>
                <w:b w:val="0"/>
                <w:szCs w:val="20"/>
                <w:lang w:val="en-GB"/>
              </w:rPr>
            </w:pPr>
            <w:r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>Mortimer Community College</w:t>
            </w:r>
            <w:r w:rsidR="005A6576"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 xml:space="preserve"> is committed to safeguarding and promoting the well-being of children and young people and expects all staff and volunteers to share this commitment.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Main Objectives of Role: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7C7C" w:rsidRPr="00B07C7C" w:rsidRDefault="00B07C7C" w:rsidP="00B07C7C">
            <w:pPr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  <w:t>CORE PURPOSE</w:t>
            </w:r>
          </w:p>
          <w:p w:rsidR="00B07C7C" w:rsidRPr="00B07C7C" w:rsidRDefault="00B07C7C" w:rsidP="00B07C7C">
            <w:pPr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</w:rPr>
            </w:pPr>
          </w:p>
          <w:p w:rsidR="00B07C7C" w:rsidRDefault="00B07C7C" w:rsidP="00B07C7C">
            <w:pPr>
              <w:pStyle w:val="Default"/>
              <w:numPr>
                <w:ilvl w:val="0"/>
                <w:numId w:val="30"/>
              </w:numPr>
              <w:rPr>
                <w:rFonts w:asciiTheme="minorHAnsi" w:eastAsia="Calibri" w:hAnsiTheme="minorHAnsi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07C7C"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</w:rPr>
              <w:t>To lead the area to ensure that students receive the highest quality teaching and learning, make progress and achieve outstanding levels of attainment</w:t>
            </w:r>
            <w:r w:rsidR="00856EAD"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</w:rPr>
              <w:t>. To inspire all stakeholders linked to Maths to become an outstanding department</w:t>
            </w:r>
            <w:r w:rsidRPr="00B07C7C">
              <w:rPr>
                <w:rFonts w:asciiTheme="minorHAnsi" w:eastAsia="Calibri" w:hAnsiTheme="minorHAnsi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</w:p>
          <w:p w:rsidR="00B07C7C" w:rsidRDefault="00B07C7C" w:rsidP="00B07C7C">
            <w:pPr>
              <w:pStyle w:val="Default"/>
              <w:rPr>
                <w:rFonts w:asciiTheme="minorHAnsi" w:eastAsia="Calibri" w:hAnsiTheme="minorHAnsi" w:cs="Times New Roman"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EB3CB2" w:rsidRPr="00B07C7C" w:rsidRDefault="00EB3CB2" w:rsidP="00B07C7C">
            <w:pPr>
              <w:pStyle w:val="Default"/>
              <w:rPr>
                <w:rFonts w:asciiTheme="minorHAnsi" w:eastAsia="Calibri" w:hAnsiTheme="minorHAnsi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07C7C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  <w:t>SPECIFIC TASKS AND RESPONSBILITIES</w:t>
            </w:r>
          </w:p>
          <w:p w:rsidR="00EB3CB2" w:rsidRPr="00B07C7C" w:rsidRDefault="00EB3CB2" w:rsidP="00EB3CB2">
            <w:pPr>
              <w:pStyle w:val="Default"/>
              <w:ind w:left="36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establish the vision for the area.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To provide effective leadership and management and thereby build and maintain an effective team, monitoring and evaluating the quality of teaching, learning and 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progress</w:t>
            </w: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To raise the 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performance of the d</w:t>
            </w: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epartment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at both key stages</w:t>
            </w:r>
          </w:p>
          <w:p w:rsid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color w:val="365F91" w:themeColor="accent1" w:themeShade="BF"/>
                <w:szCs w:val="20"/>
                <w:lang w:eastAsia="en-GB"/>
              </w:rPr>
            </w:pP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  <w:t xml:space="preserve"> LEADERSHIP AND MANAGEMENT</w:t>
            </w: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create a vision for the Department.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manage the human resources at the Department’s disposal, including teaching, non-teaching and support staff, to maximum effect.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monitor and evaluate all policies and documentation across the Department.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trike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be responsible for working with staff to raise and improve the quality of teaching and learning across the Department to raise </w:t>
            </w:r>
            <w:r w:rsidR="00856EAD">
              <w:rPr>
                <w:rFonts w:asciiTheme="minorHAnsi" w:hAnsiTheme="minorHAnsi"/>
                <w:color w:val="365F91" w:themeColor="accent1" w:themeShade="BF"/>
                <w:szCs w:val="20"/>
              </w:rPr>
              <w:t>student progress</w:t>
            </w: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take overall responsibility for monitoring, supporting and analysing behaviour within the Department and implementing a programme of intervention strategies. 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play a major role as a mid-level leader in the development of all aspects of the School, including its developments, policies and their implementation.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chair and produce the agenda for effective Department meetings.  To ensure action minutes are taken and submitted to the link on the Leadership Team.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develop and maintain effective methods of communication with the Leadership Team, other staff, students, parents, governors, the Local Authority, external agencies and the wider community (including business and industry), etc.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identify and applaud areas of success and promote the emotional well-being for individual teachers and the Department.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help create an effective team by ensuring a </w:t>
            </w:r>
            <w:r w:rsidR="00856EAD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collaborative </w:t>
            </w: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approach to development planning.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implement school </w:t>
            </w:r>
            <w:r w:rsidR="00856EAD">
              <w:rPr>
                <w:rFonts w:asciiTheme="minorHAnsi" w:hAnsiTheme="minorHAnsi"/>
                <w:color w:val="365F91" w:themeColor="accent1" w:themeShade="BF"/>
                <w:szCs w:val="20"/>
              </w:rPr>
              <w:t>policies.</w:t>
            </w: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  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carry out quality assurance of the Department, through standardisation, work scrutiny etc.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ensure that all students continue their learning, even when the regular teacher is absent. To create a bank of resources for staff to use for short term cover work.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oversee and monitor the accuracy of exam entries and dates and to work effectively with the Exam Officer.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co-operate with the Health and Safety Management and inspection process.</w:t>
            </w:r>
          </w:p>
          <w:p w:rsid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ensure that all deadlines are met.</w:t>
            </w:r>
          </w:p>
          <w:p w:rsidR="00856EAD" w:rsidRDefault="00856EAD" w:rsidP="00BF132C">
            <w:pPr>
              <w:pStyle w:val="BodyText"/>
              <w:ind w:left="720"/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</w:p>
          <w:p w:rsidR="00B07C7C" w:rsidRDefault="00B07C7C" w:rsidP="00B07C7C">
            <w:pPr>
              <w:pStyle w:val="BodyText"/>
              <w:ind w:left="720"/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  <w:lastRenderedPageBreak/>
              <w:t>ACHIEVEMENT</w:t>
            </w: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be responsible for raising standards of student attainment</w:t>
            </w:r>
            <w:r w:rsidR="00856EAD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 and progress at both key stages.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be responsible for own classes, meeting all </w:t>
            </w:r>
            <w:proofErr w:type="spellStart"/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DfE</w:t>
            </w:r>
            <w:proofErr w:type="spellEnd"/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 teacher standards.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monitor and analyse student progress, across the Department, using the data available and develop and support appropriate intervention strategies as and when necessary.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use and analyse </w:t>
            </w:r>
            <w:r w:rsidR="00856EAD">
              <w:rPr>
                <w:rFonts w:asciiTheme="minorHAnsi" w:hAnsiTheme="minorHAnsi"/>
                <w:color w:val="365F91" w:themeColor="accent1" w:themeShade="BF"/>
                <w:szCs w:val="20"/>
              </w:rPr>
              <w:t>relevant information to complete a DIP for the department and see that it is implemented effectively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 xml:space="preserve">To ensure student information is distributed correctly and dealt with effectively. </w:t>
            </w: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act as a source of advice, guidance and support.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monitor and evaluate achievement across the Department.</w:t>
            </w:r>
          </w:p>
          <w:p w:rsidR="00856EAD" w:rsidRPr="00856EAD" w:rsidRDefault="00B07C7C" w:rsidP="00507EA5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</w:rPr>
            </w:pPr>
            <w:r w:rsidRP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To take the initiative in identifying strategies to support consistency of practice and be a lead </w:t>
            </w:r>
          </w:p>
          <w:p w:rsidR="00B07C7C" w:rsidRPr="00856EAD" w:rsidRDefault="00B07C7C" w:rsidP="00507EA5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</w:rPr>
            </w:pPr>
            <w:r w:rsidRP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develop department strategies and procedures (using national and school guidelines) for differentiation in teaching and learning for all students’ needs.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liaise with colleagues from other Key Stages and sectors in order to provide a smooth transition between schools and phases for all students.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liaise with other curriculum co-ordinators in order to develop an i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ntegrated approach e.g. </w:t>
            </w: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Literacy, SEN, ICT and Citizenship.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To work with the SEN 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Department</w:t>
            </w: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to ensure subject-specific curricular materials and approaches to students’ needs.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be responsible to ensure that lesson planning takes place with support staff.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ensure that homework is set in accordance with school policy.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To ensure that the school’s </w:t>
            </w:r>
            <w:r w:rsidR="00856EAD"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polici</w:t>
            </w:r>
            <w:r w:rsidR="00856EAD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es are</w:t>
            </w: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carried out.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manage the provision of information to parent/carers and other staff about curricular choices, and choice of teaching groups for individual students and groups of students.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provide helpful and accurate responses to parent/carer enquiries.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trike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work with SLT to produce and organise the most effective curriculum to maximise student achievement.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implement and monitor high standards of planning and preparation for teaching and learning in the Department.</w:t>
            </w:r>
          </w:p>
          <w:p w:rsid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  <w:t>PROFESSIONAL DEVELOPMENT</w:t>
            </w:r>
          </w:p>
          <w:p w:rsidR="00B07C7C" w:rsidRPr="00B07C7C" w:rsidRDefault="00B07C7C" w:rsidP="00B07C7C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  <w:p w:rsidR="00B07C7C" w:rsidRPr="00B07C7C" w:rsidRDefault="00B07C7C" w:rsidP="00B07C7C">
            <w:pPr>
              <w:pStyle w:val="BodyTex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Cs w:val="20"/>
              </w:rPr>
              <w:t>To identify CPD for the Department Staff (teaching and support) as appropriate.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have strategic responsibility for the monitoring, support and assessment of trainee (ITT) and newly qualified (NQT) teachers.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have responsibility for the induction of staff, new to the Department.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delegate tasks in a way which maximises the use of available talent, experience and enthusiasm and provides development opportunities for all staff.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use the Performance Management cycle to assist in enhancing the professional development aspirations of colleagues.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personally keep up to date with developments and new ideas related to the subjects within the Department.</w:t>
            </w:r>
          </w:p>
          <w:p w:rsidR="00B07C7C" w:rsidRPr="00B07C7C" w:rsidRDefault="00B07C7C" w:rsidP="00B07C7C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B07C7C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To work with staff to maximise effective and consistent delivery, involving all teachers and classroom assistants.</w:t>
            </w:r>
          </w:p>
          <w:p w:rsidR="00B07C7C" w:rsidRPr="00B07C7C" w:rsidRDefault="00B07C7C" w:rsidP="00B07C7C">
            <w:pPr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</w:p>
          <w:p w:rsidR="00B07C7C" w:rsidRDefault="00B07C7C" w:rsidP="00B07C7C">
            <w:pPr>
              <w:jc w:val="both"/>
              <w:rPr>
                <w:rFonts w:ascii="Candara" w:hAnsi="Candara"/>
                <w:b/>
                <w:color w:val="002060"/>
                <w:szCs w:val="22"/>
              </w:rPr>
            </w:pPr>
          </w:p>
          <w:p w:rsidR="00EB3CB2" w:rsidRPr="00EB3CB2" w:rsidRDefault="00EB3CB2" w:rsidP="00EB3CB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5A6576" w:rsidRPr="00F51F26" w:rsidTr="0064190B">
        <w:trPr>
          <w:jc w:val="center"/>
        </w:trPr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F51F26" w:rsidRDefault="005A6576" w:rsidP="0064190B">
            <w:pPr>
              <w:pStyle w:val="Label"/>
              <w:rPr>
                <w:szCs w:val="20"/>
              </w:rPr>
            </w:pPr>
            <w:r w:rsidRPr="00F51F26">
              <w:rPr>
                <w:szCs w:val="20"/>
              </w:rPr>
              <w:lastRenderedPageBreak/>
              <w:t>Date:</w:t>
            </w:r>
          </w:p>
        </w:tc>
        <w:tc>
          <w:tcPr>
            <w:tcW w:w="7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F51F26" w:rsidRDefault="009E328D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November 2019</w:t>
            </w:r>
          </w:p>
        </w:tc>
      </w:tr>
    </w:tbl>
    <w:p w:rsidR="005A6576" w:rsidRPr="00F51F26" w:rsidRDefault="005A6576" w:rsidP="00EC668E">
      <w:pPr>
        <w:rPr>
          <w:rFonts w:ascii="Calibri" w:hAnsi="Calibri"/>
          <w:b/>
          <w:sz w:val="20"/>
          <w:szCs w:val="20"/>
        </w:rPr>
      </w:pPr>
    </w:p>
    <w:sectPr w:rsidR="005A6576" w:rsidRPr="00F51F26" w:rsidSect="00A508AF">
      <w:footerReference w:type="default" r:id="rId10"/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F2" w:rsidRDefault="008E54F2" w:rsidP="00327D88">
      <w:r>
        <w:separator/>
      </w:r>
    </w:p>
  </w:endnote>
  <w:endnote w:type="continuationSeparator" w:id="0">
    <w:p w:rsidR="008E54F2" w:rsidRDefault="008E54F2" w:rsidP="003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48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D88" w:rsidRDefault="00327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88" w:rsidRDefault="0032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F2" w:rsidRDefault="008E54F2" w:rsidP="00327D88">
      <w:r>
        <w:separator/>
      </w:r>
    </w:p>
  </w:footnote>
  <w:footnote w:type="continuationSeparator" w:id="0">
    <w:p w:rsidR="008E54F2" w:rsidRDefault="008E54F2" w:rsidP="0032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44"/>
    <w:multiLevelType w:val="hybridMultilevel"/>
    <w:tmpl w:val="61186950"/>
    <w:lvl w:ilvl="0" w:tplc="D23035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E78EE"/>
    <w:multiLevelType w:val="hybridMultilevel"/>
    <w:tmpl w:val="10E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C0C"/>
    <w:multiLevelType w:val="hybridMultilevel"/>
    <w:tmpl w:val="3E4E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2267"/>
    <w:multiLevelType w:val="hybridMultilevel"/>
    <w:tmpl w:val="1C449F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75B5"/>
    <w:multiLevelType w:val="hybridMultilevel"/>
    <w:tmpl w:val="3DE85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2A25A2"/>
    <w:multiLevelType w:val="hybridMultilevel"/>
    <w:tmpl w:val="F8687B0A"/>
    <w:lvl w:ilvl="0" w:tplc="1034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641FF2"/>
    <w:multiLevelType w:val="hybridMultilevel"/>
    <w:tmpl w:val="68BA2FC0"/>
    <w:lvl w:ilvl="0" w:tplc="D23035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B4FDA"/>
    <w:multiLevelType w:val="hybridMultilevel"/>
    <w:tmpl w:val="34FC0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CA6CB2"/>
    <w:multiLevelType w:val="hybridMultilevel"/>
    <w:tmpl w:val="5DA041B6"/>
    <w:lvl w:ilvl="0" w:tplc="D23035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A5A5B"/>
    <w:multiLevelType w:val="hybridMultilevel"/>
    <w:tmpl w:val="176A8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54FBF"/>
    <w:multiLevelType w:val="hybridMultilevel"/>
    <w:tmpl w:val="4E24499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153B39"/>
    <w:multiLevelType w:val="hybridMultilevel"/>
    <w:tmpl w:val="55482DE4"/>
    <w:lvl w:ilvl="0" w:tplc="D23035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21100"/>
    <w:multiLevelType w:val="hybridMultilevel"/>
    <w:tmpl w:val="9AC861B2"/>
    <w:lvl w:ilvl="0" w:tplc="F5A6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527B2"/>
    <w:multiLevelType w:val="hybridMultilevel"/>
    <w:tmpl w:val="B6FC9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3E2045"/>
    <w:multiLevelType w:val="hybridMultilevel"/>
    <w:tmpl w:val="9F586B3E"/>
    <w:lvl w:ilvl="0" w:tplc="10342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3420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834C4"/>
    <w:multiLevelType w:val="hybridMultilevel"/>
    <w:tmpl w:val="FE9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6B0D"/>
    <w:multiLevelType w:val="hybridMultilevel"/>
    <w:tmpl w:val="1E88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A7AC6"/>
    <w:multiLevelType w:val="hybridMultilevel"/>
    <w:tmpl w:val="C59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06D22"/>
    <w:multiLevelType w:val="hybridMultilevel"/>
    <w:tmpl w:val="F272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610F"/>
    <w:multiLevelType w:val="hybridMultilevel"/>
    <w:tmpl w:val="87A2E544"/>
    <w:lvl w:ilvl="0" w:tplc="10342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3F40DF"/>
    <w:multiLevelType w:val="hybridMultilevel"/>
    <w:tmpl w:val="A1C6DAEE"/>
    <w:lvl w:ilvl="0" w:tplc="8F260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5C724E"/>
    <w:multiLevelType w:val="hybridMultilevel"/>
    <w:tmpl w:val="D2383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C38A3"/>
    <w:multiLevelType w:val="hybridMultilevel"/>
    <w:tmpl w:val="1DA6DCFA"/>
    <w:lvl w:ilvl="0" w:tplc="D23035F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36E7A"/>
    <w:multiLevelType w:val="hybridMultilevel"/>
    <w:tmpl w:val="88BAC7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6273E3"/>
    <w:multiLevelType w:val="hybridMultilevel"/>
    <w:tmpl w:val="C4323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362E68"/>
    <w:multiLevelType w:val="hybridMultilevel"/>
    <w:tmpl w:val="0B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E6369"/>
    <w:multiLevelType w:val="hybridMultilevel"/>
    <w:tmpl w:val="1BE6C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5381A"/>
    <w:multiLevelType w:val="hybridMultilevel"/>
    <w:tmpl w:val="EF5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0267B"/>
    <w:multiLevelType w:val="hybridMultilevel"/>
    <w:tmpl w:val="020CC37A"/>
    <w:lvl w:ilvl="0" w:tplc="31260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17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5"/>
  </w:num>
  <w:num w:numId="15">
    <w:abstractNumId w:val="19"/>
  </w:num>
  <w:num w:numId="16">
    <w:abstractNumId w:val="16"/>
  </w:num>
  <w:num w:numId="17">
    <w:abstractNumId w:val="25"/>
  </w:num>
  <w:num w:numId="18">
    <w:abstractNumId w:val="21"/>
  </w:num>
  <w:num w:numId="19">
    <w:abstractNumId w:val="2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6"/>
  </w:num>
  <w:num w:numId="26">
    <w:abstractNumId w:val="8"/>
  </w:num>
  <w:num w:numId="27">
    <w:abstractNumId w:val="0"/>
  </w:num>
  <w:num w:numId="28">
    <w:abstractNumId w:val="22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E"/>
    <w:rsid w:val="00033446"/>
    <w:rsid w:val="000346F5"/>
    <w:rsid w:val="000350BF"/>
    <w:rsid w:val="000412AC"/>
    <w:rsid w:val="00061D1D"/>
    <w:rsid w:val="000D0181"/>
    <w:rsid w:val="000D7F10"/>
    <w:rsid w:val="000F7009"/>
    <w:rsid w:val="001030F0"/>
    <w:rsid w:val="001058B1"/>
    <w:rsid w:val="00127D84"/>
    <w:rsid w:val="00157C6D"/>
    <w:rsid w:val="00191113"/>
    <w:rsid w:val="0019664D"/>
    <w:rsid w:val="001B63AE"/>
    <w:rsid w:val="001B6D10"/>
    <w:rsid w:val="001B7F88"/>
    <w:rsid w:val="001C6F5B"/>
    <w:rsid w:val="002227EF"/>
    <w:rsid w:val="00242FC6"/>
    <w:rsid w:val="002B5AB0"/>
    <w:rsid w:val="003015AE"/>
    <w:rsid w:val="003062ED"/>
    <w:rsid w:val="003136D1"/>
    <w:rsid w:val="00325813"/>
    <w:rsid w:val="00327D88"/>
    <w:rsid w:val="00335B97"/>
    <w:rsid w:val="00376CA5"/>
    <w:rsid w:val="003B3321"/>
    <w:rsid w:val="003C6BEE"/>
    <w:rsid w:val="003F2AEC"/>
    <w:rsid w:val="00404360"/>
    <w:rsid w:val="00412635"/>
    <w:rsid w:val="0043494D"/>
    <w:rsid w:val="00457CC7"/>
    <w:rsid w:val="004768B8"/>
    <w:rsid w:val="00484E8B"/>
    <w:rsid w:val="004B4941"/>
    <w:rsid w:val="004E2BE4"/>
    <w:rsid w:val="00502FE6"/>
    <w:rsid w:val="00516159"/>
    <w:rsid w:val="00521504"/>
    <w:rsid w:val="005566D5"/>
    <w:rsid w:val="005A6576"/>
    <w:rsid w:val="005B3DAD"/>
    <w:rsid w:val="005B5B17"/>
    <w:rsid w:val="005C24B2"/>
    <w:rsid w:val="006132FB"/>
    <w:rsid w:val="00626EC5"/>
    <w:rsid w:val="00627B16"/>
    <w:rsid w:val="00631698"/>
    <w:rsid w:val="0063336F"/>
    <w:rsid w:val="006428C3"/>
    <w:rsid w:val="0066501B"/>
    <w:rsid w:val="00671860"/>
    <w:rsid w:val="00671D22"/>
    <w:rsid w:val="006800A9"/>
    <w:rsid w:val="00686B6B"/>
    <w:rsid w:val="00687F55"/>
    <w:rsid w:val="007171A8"/>
    <w:rsid w:val="00771706"/>
    <w:rsid w:val="00771BC5"/>
    <w:rsid w:val="00777B7B"/>
    <w:rsid w:val="007C0098"/>
    <w:rsid w:val="007C2EE0"/>
    <w:rsid w:val="007E2B1E"/>
    <w:rsid w:val="007E40B1"/>
    <w:rsid w:val="007E7198"/>
    <w:rsid w:val="00812F03"/>
    <w:rsid w:val="00827242"/>
    <w:rsid w:val="00841BD4"/>
    <w:rsid w:val="00852531"/>
    <w:rsid w:val="00852818"/>
    <w:rsid w:val="008550E2"/>
    <w:rsid w:val="00856EAD"/>
    <w:rsid w:val="00857CBD"/>
    <w:rsid w:val="008A2CA5"/>
    <w:rsid w:val="008E54F2"/>
    <w:rsid w:val="00902A72"/>
    <w:rsid w:val="00926F70"/>
    <w:rsid w:val="00943BDB"/>
    <w:rsid w:val="00960DA1"/>
    <w:rsid w:val="00974D62"/>
    <w:rsid w:val="0097527E"/>
    <w:rsid w:val="00976055"/>
    <w:rsid w:val="00987361"/>
    <w:rsid w:val="009929D6"/>
    <w:rsid w:val="00995D8A"/>
    <w:rsid w:val="009A62C8"/>
    <w:rsid w:val="009C1B4E"/>
    <w:rsid w:val="009C2E83"/>
    <w:rsid w:val="009C5045"/>
    <w:rsid w:val="009C6EEB"/>
    <w:rsid w:val="009E328D"/>
    <w:rsid w:val="00A05A37"/>
    <w:rsid w:val="00A06A7B"/>
    <w:rsid w:val="00A25E25"/>
    <w:rsid w:val="00A401FA"/>
    <w:rsid w:val="00A508AF"/>
    <w:rsid w:val="00A571D9"/>
    <w:rsid w:val="00AA70A6"/>
    <w:rsid w:val="00AB0253"/>
    <w:rsid w:val="00AB0C74"/>
    <w:rsid w:val="00AC56A4"/>
    <w:rsid w:val="00AD1A2E"/>
    <w:rsid w:val="00AD23F9"/>
    <w:rsid w:val="00AE63C3"/>
    <w:rsid w:val="00AE7352"/>
    <w:rsid w:val="00AF1029"/>
    <w:rsid w:val="00B07C7C"/>
    <w:rsid w:val="00B17B67"/>
    <w:rsid w:val="00B17F5F"/>
    <w:rsid w:val="00B60BFE"/>
    <w:rsid w:val="00B720C6"/>
    <w:rsid w:val="00B73847"/>
    <w:rsid w:val="00B75A84"/>
    <w:rsid w:val="00B82BB3"/>
    <w:rsid w:val="00BC4BC4"/>
    <w:rsid w:val="00BE4641"/>
    <w:rsid w:val="00BF132C"/>
    <w:rsid w:val="00BF5497"/>
    <w:rsid w:val="00BF78C8"/>
    <w:rsid w:val="00C01D01"/>
    <w:rsid w:val="00C12F71"/>
    <w:rsid w:val="00C22C7A"/>
    <w:rsid w:val="00C32790"/>
    <w:rsid w:val="00C35501"/>
    <w:rsid w:val="00C91744"/>
    <w:rsid w:val="00C9277A"/>
    <w:rsid w:val="00CA7100"/>
    <w:rsid w:val="00CB6187"/>
    <w:rsid w:val="00CB76FA"/>
    <w:rsid w:val="00D407E1"/>
    <w:rsid w:val="00D56329"/>
    <w:rsid w:val="00D6032A"/>
    <w:rsid w:val="00D66FEA"/>
    <w:rsid w:val="00D70065"/>
    <w:rsid w:val="00D76C5E"/>
    <w:rsid w:val="00DB2A7B"/>
    <w:rsid w:val="00DC1707"/>
    <w:rsid w:val="00DD03B3"/>
    <w:rsid w:val="00DE5171"/>
    <w:rsid w:val="00E07C7F"/>
    <w:rsid w:val="00E458F1"/>
    <w:rsid w:val="00E55E76"/>
    <w:rsid w:val="00E6654D"/>
    <w:rsid w:val="00E725F4"/>
    <w:rsid w:val="00EB0038"/>
    <w:rsid w:val="00EB3CB2"/>
    <w:rsid w:val="00EC2DBF"/>
    <w:rsid w:val="00EC668E"/>
    <w:rsid w:val="00ED437F"/>
    <w:rsid w:val="00EE04E5"/>
    <w:rsid w:val="00EE562B"/>
    <w:rsid w:val="00F04593"/>
    <w:rsid w:val="00F116AB"/>
    <w:rsid w:val="00F20E9F"/>
    <w:rsid w:val="00F319CF"/>
    <w:rsid w:val="00F514DB"/>
    <w:rsid w:val="00F51F26"/>
    <w:rsid w:val="00F64879"/>
    <w:rsid w:val="00F847BA"/>
    <w:rsid w:val="00FA22E4"/>
    <w:rsid w:val="00FA790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  <w:style w:type="paragraph" w:customStyle="1" w:styleId="Default">
    <w:name w:val="Default"/>
    <w:rsid w:val="00EB3CB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07C7C"/>
    <w:rPr>
      <w:rFonts w:ascii="Comic Sans MS" w:hAnsi="Comic Sans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7C7C"/>
    <w:rPr>
      <w:rFonts w:ascii="Comic Sans MS" w:hAnsi="Comic Sans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  <w:style w:type="paragraph" w:customStyle="1" w:styleId="Default">
    <w:name w:val="Default"/>
    <w:rsid w:val="00EB3CB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07C7C"/>
    <w:rPr>
      <w:rFonts w:ascii="Comic Sans MS" w:hAnsi="Comic Sans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7C7C"/>
    <w:rPr>
      <w:rFonts w:ascii="Comic Sans MS" w:hAnsi="Comic Sans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E94A-3454-4838-A5CB-EEA99FE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Slade School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Carolyn Lindsay</cp:lastModifiedBy>
  <cp:revision>2</cp:revision>
  <cp:lastPrinted>2017-04-28T13:07:00Z</cp:lastPrinted>
  <dcterms:created xsi:type="dcterms:W3CDTF">2019-11-22T15:09:00Z</dcterms:created>
  <dcterms:modified xsi:type="dcterms:W3CDTF">2019-11-22T15:09:00Z</dcterms:modified>
</cp:coreProperties>
</file>