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13" w:type="dxa"/>
        <w:tblInd w:w="-8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2693"/>
        <w:gridCol w:w="3544"/>
        <w:gridCol w:w="2552"/>
        <w:gridCol w:w="19"/>
      </w:tblGrid>
      <w:tr w:rsidR="003707CD" w:rsidTr="00B42640">
        <w:tc>
          <w:tcPr>
            <w:tcW w:w="15613" w:type="dxa"/>
            <w:gridSpan w:val="5"/>
            <w:tcBorders>
              <w:top w:val="nil"/>
              <w:left w:val="nil"/>
              <w:bottom w:val="single" w:sz="12" w:space="0" w:color="auto"/>
              <w:right w:val="nil"/>
            </w:tcBorders>
          </w:tcPr>
          <w:p w:rsidR="003707CD" w:rsidRDefault="003707CD" w:rsidP="00934711">
            <w:pPr>
              <w:jc w:val="center"/>
              <w:rPr>
                <w:rFonts w:ascii="Verdana" w:hAnsi="Verdana"/>
                <w:b/>
                <w:sz w:val="24"/>
                <w:szCs w:val="24"/>
              </w:rPr>
            </w:pPr>
            <w:bookmarkStart w:id="0" w:name="_GoBack"/>
            <w:bookmarkEnd w:id="0"/>
            <w:r>
              <w:rPr>
                <w:rFonts w:ascii="Verdana" w:hAnsi="Verdana"/>
                <w:b/>
                <w:sz w:val="24"/>
                <w:szCs w:val="24"/>
              </w:rPr>
              <w:t xml:space="preserve">Strategic Director, </w:t>
            </w:r>
            <w:r w:rsidR="00D94C35">
              <w:rPr>
                <w:rFonts w:ascii="Verdana" w:hAnsi="Verdana"/>
                <w:b/>
                <w:sz w:val="24"/>
                <w:szCs w:val="24"/>
              </w:rPr>
              <w:t>Economy, Innovation &amp; Growth</w:t>
            </w:r>
          </w:p>
          <w:p w:rsidR="00B42640" w:rsidRDefault="00B42640" w:rsidP="00934711">
            <w:pPr>
              <w:jc w:val="center"/>
              <w:rPr>
                <w:rFonts w:ascii="Verdana" w:hAnsi="Verdana"/>
                <w:b/>
                <w:sz w:val="24"/>
                <w:szCs w:val="24"/>
              </w:rPr>
            </w:pPr>
          </w:p>
        </w:tc>
      </w:tr>
      <w:tr w:rsidR="003707CD" w:rsidRPr="005C1168" w:rsidTr="00B42640">
        <w:tc>
          <w:tcPr>
            <w:tcW w:w="15613" w:type="dxa"/>
            <w:gridSpan w:val="5"/>
            <w:tcBorders>
              <w:top w:val="single" w:sz="12" w:space="0" w:color="auto"/>
            </w:tcBorders>
          </w:tcPr>
          <w:p w:rsidR="003707CD" w:rsidRDefault="003707CD" w:rsidP="00934711">
            <w:pPr>
              <w:rPr>
                <w:rFonts w:ascii="Verdana" w:hAnsi="Verdana"/>
                <w:b/>
              </w:rPr>
            </w:pPr>
            <w:r>
              <w:rPr>
                <w:rFonts w:ascii="Verdana" w:hAnsi="Verdana"/>
                <w:b/>
              </w:rPr>
              <w:t>Purpose:</w:t>
            </w:r>
          </w:p>
          <w:p w:rsidR="003707CD" w:rsidRDefault="003707CD" w:rsidP="00934711">
            <w:pPr>
              <w:rPr>
                <w:rFonts w:ascii="Verdana" w:hAnsi="Verdana"/>
              </w:rPr>
            </w:pPr>
            <w:r>
              <w:rPr>
                <w:rFonts w:ascii="Verdana" w:hAnsi="Verdana"/>
              </w:rPr>
              <w:t>Lead the development</w:t>
            </w:r>
            <w:r w:rsidR="00207AEC">
              <w:rPr>
                <w:rFonts w:ascii="Verdana" w:hAnsi="Verdana"/>
              </w:rPr>
              <w:t xml:space="preserve"> of economic growth, </w:t>
            </w:r>
            <w:r w:rsidR="00A31ED8">
              <w:rPr>
                <w:rFonts w:ascii="Verdana" w:hAnsi="Verdana"/>
              </w:rPr>
              <w:t xml:space="preserve">strategic asset management, </w:t>
            </w:r>
            <w:r w:rsidR="00207AEC">
              <w:rPr>
                <w:rFonts w:ascii="Verdana" w:hAnsi="Verdana"/>
              </w:rPr>
              <w:t>housing growth</w:t>
            </w:r>
            <w:r w:rsidR="00B42640">
              <w:rPr>
                <w:rFonts w:ascii="Verdana" w:hAnsi="Verdana"/>
              </w:rPr>
              <w:t xml:space="preserve"> and</w:t>
            </w:r>
            <w:r w:rsidR="00207AEC">
              <w:rPr>
                <w:rFonts w:ascii="Verdana" w:hAnsi="Verdana"/>
              </w:rPr>
              <w:t xml:space="preserve"> innovation by delivering major economic projects</w:t>
            </w:r>
            <w:r>
              <w:rPr>
                <w:rFonts w:ascii="Verdana" w:hAnsi="Verdana"/>
              </w:rPr>
              <w:t xml:space="preserve"> and </w:t>
            </w:r>
            <w:r w:rsidR="00207AEC">
              <w:rPr>
                <w:rFonts w:ascii="Verdana" w:hAnsi="Verdana"/>
              </w:rPr>
              <w:t xml:space="preserve">lead climate change and business development </w:t>
            </w:r>
            <w:r w:rsidR="00DC3D2D">
              <w:rPr>
                <w:rFonts w:ascii="Verdana" w:hAnsi="Verdana"/>
              </w:rPr>
              <w:t>to impr</w:t>
            </w:r>
            <w:r w:rsidR="009A5387">
              <w:rPr>
                <w:rFonts w:ascii="Verdana" w:hAnsi="Verdana"/>
              </w:rPr>
              <w:t>o</w:t>
            </w:r>
            <w:r w:rsidR="00DC3D2D">
              <w:rPr>
                <w:rFonts w:ascii="Verdana" w:hAnsi="Verdana"/>
              </w:rPr>
              <w:t>ve the economy of Gateshead</w:t>
            </w:r>
            <w:r w:rsidR="00B42640">
              <w:rPr>
                <w:rFonts w:ascii="Verdana" w:hAnsi="Verdana"/>
              </w:rPr>
              <w:t>.</w:t>
            </w:r>
          </w:p>
          <w:p w:rsidR="00B42640" w:rsidRPr="005C1168" w:rsidRDefault="00B42640" w:rsidP="00934711">
            <w:pPr>
              <w:rPr>
                <w:rFonts w:ascii="Verdana" w:hAnsi="Verdana"/>
              </w:rPr>
            </w:pPr>
          </w:p>
        </w:tc>
      </w:tr>
      <w:tr w:rsidR="003707CD" w:rsidTr="00B42640">
        <w:trPr>
          <w:gridAfter w:val="1"/>
          <w:wAfter w:w="19" w:type="dxa"/>
        </w:trPr>
        <w:tc>
          <w:tcPr>
            <w:tcW w:w="6805" w:type="dxa"/>
          </w:tcPr>
          <w:p w:rsidR="003707CD" w:rsidRDefault="003707CD" w:rsidP="00934711">
            <w:pPr>
              <w:rPr>
                <w:rFonts w:ascii="Verdana" w:hAnsi="Verdana"/>
                <w:b/>
              </w:rPr>
            </w:pPr>
            <w:r>
              <w:rPr>
                <w:rFonts w:ascii="Verdana" w:hAnsi="Verdana"/>
                <w:b/>
              </w:rPr>
              <w:t>Key Result Areas</w:t>
            </w:r>
          </w:p>
        </w:tc>
        <w:tc>
          <w:tcPr>
            <w:tcW w:w="2693" w:type="dxa"/>
          </w:tcPr>
          <w:p w:rsidR="003707CD" w:rsidRDefault="003707CD" w:rsidP="00934711">
            <w:pPr>
              <w:rPr>
                <w:rFonts w:ascii="Verdana" w:hAnsi="Verdana"/>
                <w:b/>
              </w:rPr>
            </w:pPr>
            <w:r>
              <w:rPr>
                <w:rFonts w:ascii="Verdana" w:hAnsi="Verdana"/>
                <w:b/>
              </w:rPr>
              <w:t>Critical Success Factors</w:t>
            </w:r>
          </w:p>
        </w:tc>
        <w:tc>
          <w:tcPr>
            <w:tcW w:w="3544" w:type="dxa"/>
          </w:tcPr>
          <w:p w:rsidR="003707CD" w:rsidRDefault="003707CD" w:rsidP="00934711">
            <w:pPr>
              <w:rPr>
                <w:rFonts w:ascii="Verdana" w:hAnsi="Verdana"/>
                <w:b/>
              </w:rPr>
            </w:pPr>
            <w:r>
              <w:rPr>
                <w:rFonts w:ascii="Verdana" w:hAnsi="Verdana"/>
                <w:b/>
              </w:rPr>
              <w:t xml:space="preserve">Skills, Know How </w:t>
            </w:r>
            <w:r>
              <w:rPr>
                <w:rFonts w:ascii="Verdana" w:hAnsi="Verdana"/>
                <w:b/>
              </w:rPr>
              <w:br/>
              <w:t xml:space="preserve">and </w:t>
            </w:r>
            <w:r w:rsidR="007C7605">
              <w:rPr>
                <w:rFonts w:ascii="Verdana" w:hAnsi="Verdana"/>
                <w:b/>
              </w:rPr>
              <w:t>E</w:t>
            </w:r>
            <w:r>
              <w:rPr>
                <w:rFonts w:ascii="Verdana" w:hAnsi="Verdana"/>
                <w:b/>
              </w:rPr>
              <w:t>xperience</w:t>
            </w:r>
          </w:p>
        </w:tc>
        <w:tc>
          <w:tcPr>
            <w:tcW w:w="2552" w:type="dxa"/>
          </w:tcPr>
          <w:p w:rsidR="003707CD" w:rsidRDefault="003707CD" w:rsidP="00934711">
            <w:pPr>
              <w:rPr>
                <w:rFonts w:ascii="Verdana" w:hAnsi="Verdana"/>
                <w:b/>
              </w:rPr>
            </w:pPr>
            <w:r>
              <w:rPr>
                <w:rFonts w:ascii="Verdana" w:hAnsi="Verdana"/>
                <w:b/>
              </w:rPr>
              <w:t>Competencies</w:t>
            </w:r>
          </w:p>
        </w:tc>
      </w:tr>
      <w:tr w:rsidR="00532B13" w:rsidTr="00B42640">
        <w:trPr>
          <w:gridAfter w:val="1"/>
          <w:wAfter w:w="19" w:type="dxa"/>
        </w:trPr>
        <w:tc>
          <w:tcPr>
            <w:tcW w:w="6805" w:type="dxa"/>
          </w:tcPr>
          <w:p w:rsidR="00B42640" w:rsidRPr="00B42640" w:rsidRDefault="00B42640" w:rsidP="00DE0918">
            <w:pPr>
              <w:numPr>
                <w:ilvl w:val="0"/>
                <w:numId w:val="1"/>
              </w:numPr>
              <w:rPr>
                <w:rFonts w:ascii="Verdana" w:hAnsi="Verdana"/>
              </w:rPr>
            </w:pPr>
            <w:r w:rsidRPr="00B42640">
              <w:rPr>
                <w:rFonts w:ascii="Verdana" w:hAnsi="Verdana"/>
              </w:rPr>
              <w:t>All S</w:t>
            </w:r>
            <w:r>
              <w:rPr>
                <w:rFonts w:ascii="Verdana" w:hAnsi="Verdana"/>
              </w:rPr>
              <w:t xml:space="preserve">trategic </w:t>
            </w:r>
            <w:r w:rsidRPr="00B42640">
              <w:rPr>
                <w:rFonts w:ascii="Verdana" w:hAnsi="Verdana"/>
              </w:rPr>
              <w:t>Directors are responsible for managing, coordinating, facilitating, and advising the development, implementation, monitoring, and improvement of policies, program</w:t>
            </w:r>
            <w:r w:rsidR="00C97022">
              <w:rPr>
                <w:rFonts w:ascii="Verdana" w:hAnsi="Verdana"/>
              </w:rPr>
              <w:t>me</w:t>
            </w:r>
            <w:r w:rsidRPr="00B42640">
              <w:rPr>
                <w:rFonts w:ascii="Verdana" w:hAnsi="Verdana"/>
              </w:rPr>
              <w:t xml:space="preserve">s, and initiatives to promote the Council’s Thrive agenda.  </w:t>
            </w:r>
          </w:p>
          <w:p w:rsidR="00B42640" w:rsidRDefault="00B42640" w:rsidP="00DE0918">
            <w:pPr>
              <w:numPr>
                <w:ilvl w:val="0"/>
                <w:numId w:val="1"/>
              </w:numPr>
              <w:rPr>
                <w:rFonts w:ascii="Verdana" w:hAnsi="Verdana"/>
              </w:rPr>
            </w:pPr>
            <w:r w:rsidRPr="00B42640">
              <w:rPr>
                <w:rFonts w:ascii="Verdana" w:hAnsi="Verdana"/>
              </w:rPr>
              <w:t xml:space="preserve">Whilst specific professional areas are allocated to individual roles, there is an expectation that all </w:t>
            </w:r>
            <w:r>
              <w:rPr>
                <w:rFonts w:ascii="Verdana" w:hAnsi="Verdana"/>
              </w:rPr>
              <w:t>Strategic</w:t>
            </w:r>
            <w:r w:rsidRPr="00B42640">
              <w:rPr>
                <w:rFonts w:ascii="Verdana" w:hAnsi="Verdana"/>
              </w:rPr>
              <w:t xml:space="preserve"> Directors can be required to work across any service, group or area within the Council, as required.</w:t>
            </w:r>
          </w:p>
          <w:p w:rsidR="00B42640" w:rsidRDefault="00532B13" w:rsidP="00DE0918">
            <w:pPr>
              <w:numPr>
                <w:ilvl w:val="0"/>
                <w:numId w:val="1"/>
              </w:numPr>
              <w:rPr>
                <w:rFonts w:ascii="Verdana" w:hAnsi="Verdana"/>
              </w:rPr>
            </w:pPr>
            <w:r>
              <w:rPr>
                <w:rFonts w:ascii="Verdana" w:hAnsi="Verdana"/>
              </w:rPr>
              <w:t>As a member of Corporate Management team contribute to leading and developing the Council to implement and deliver the strategic direction for economy, innovation and growth by embracing and adopting the Council’s Thrive Agenda pledges.</w:t>
            </w:r>
            <w:r w:rsidDel="00DC3D2D">
              <w:rPr>
                <w:rFonts w:ascii="Verdana" w:hAnsi="Verdana"/>
              </w:rPr>
              <w:t xml:space="preserve"> </w:t>
            </w:r>
          </w:p>
          <w:p w:rsidR="00B42640" w:rsidRDefault="00532B13" w:rsidP="00DE0918">
            <w:pPr>
              <w:numPr>
                <w:ilvl w:val="0"/>
                <w:numId w:val="1"/>
              </w:numPr>
              <w:rPr>
                <w:rFonts w:ascii="Verdana" w:hAnsi="Verdana"/>
              </w:rPr>
            </w:pPr>
            <w:r>
              <w:rPr>
                <w:rFonts w:ascii="Verdana" w:hAnsi="Verdana"/>
              </w:rPr>
              <w:t>Lead the development and implementation of major projects to improve economic growth, innovation and support the delivery of frontline services to meet the Council’s objectives.</w:t>
            </w:r>
            <w:r w:rsidDel="00DC3D2D">
              <w:rPr>
                <w:rFonts w:ascii="Verdana" w:hAnsi="Verdana"/>
              </w:rPr>
              <w:t xml:space="preserve"> </w:t>
            </w:r>
          </w:p>
          <w:p w:rsidR="00B42640" w:rsidRDefault="00532B13" w:rsidP="00DE0918">
            <w:pPr>
              <w:numPr>
                <w:ilvl w:val="0"/>
                <w:numId w:val="1"/>
              </w:numPr>
              <w:rPr>
                <w:rFonts w:ascii="Verdana" w:hAnsi="Verdana"/>
              </w:rPr>
            </w:pPr>
            <w:r w:rsidRPr="00DC3D2D">
              <w:rPr>
                <w:rFonts w:ascii="Verdana" w:hAnsi="Verdana"/>
              </w:rPr>
              <w:t xml:space="preserve">Lead the delivery of regeneration, </w:t>
            </w:r>
            <w:r w:rsidRPr="00532B13">
              <w:rPr>
                <w:rFonts w:ascii="Verdana" w:hAnsi="Verdana"/>
              </w:rPr>
              <w:t>housing growth, business growth, encouraging innovation and maximising fu</w:t>
            </w:r>
            <w:r w:rsidRPr="00EE61C6">
              <w:rPr>
                <w:rFonts w:ascii="Verdana" w:hAnsi="Verdana"/>
              </w:rPr>
              <w:t>nding to support the delivery of major projects</w:t>
            </w:r>
            <w:r w:rsidR="00B42640">
              <w:rPr>
                <w:rFonts w:ascii="Verdana" w:hAnsi="Verdana"/>
              </w:rPr>
              <w:t>.</w:t>
            </w:r>
          </w:p>
          <w:p w:rsidR="00DE0918" w:rsidRPr="00165620" w:rsidRDefault="00DE0918" w:rsidP="00DE0918">
            <w:pPr>
              <w:numPr>
                <w:ilvl w:val="0"/>
                <w:numId w:val="1"/>
              </w:numPr>
              <w:rPr>
                <w:rFonts w:ascii="Verdana" w:hAnsi="Verdana"/>
              </w:rPr>
            </w:pPr>
            <w:r>
              <w:rPr>
                <w:rFonts w:ascii="Verdana" w:hAnsi="Verdana"/>
              </w:rPr>
              <w:t>Lead on the housing joint venture, the Gateshead Regeneration Project.</w:t>
            </w:r>
          </w:p>
          <w:p w:rsidR="00C756E4" w:rsidRPr="00C756E4" w:rsidRDefault="00C756E4" w:rsidP="00C756E4">
            <w:pPr>
              <w:pStyle w:val="ListParagraph"/>
              <w:numPr>
                <w:ilvl w:val="0"/>
                <w:numId w:val="1"/>
              </w:numPr>
              <w:rPr>
                <w:rFonts w:ascii="Verdana" w:hAnsi="Verdana"/>
              </w:rPr>
            </w:pPr>
            <w:r w:rsidRPr="00C756E4">
              <w:rPr>
                <w:rFonts w:ascii="Verdana" w:hAnsi="Verdana"/>
              </w:rPr>
              <w:t>Represent the Council on the Scape board as one of the 6 Local Authority shareholders.</w:t>
            </w:r>
          </w:p>
          <w:p w:rsidR="00532B13" w:rsidRDefault="00532B13" w:rsidP="00DE0918">
            <w:pPr>
              <w:numPr>
                <w:ilvl w:val="0"/>
                <w:numId w:val="1"/>
              </w:numPr>
              <w:rPr>
                <w:rFonts w:ascii="Verdana" w:hAnsi="Verdana"/>
              </w:rPr>
            </w:pPr>
            <w:r>
              <w:rPr>
                <w:rFonts w:ascii="Verdana" w:hAnsi="Verdana"/>
              </w:rPr>
              <w:t>Manage the Member and officer interface to ensure that appropriate arrangements are in place to report and resolve service issues.</w:t>
            </w:r>
          </w:p>
          <w:p w:rsidR="00532B13" w:rsidRDefault="00532B13" w:rsidP="00DE0918">
            <w:pPr>
              <w:numPr>
                <w:ilvl w:val="0"/>
                <w:numId w:val="1"/>
              </w:numPr>
              <w:rPr>
                <w:rFonts w:ascii="Verdana" w:hAnsi="Verdana"/>
              </w:rPr>
            </w:pPr>
            <w:r>
              <w:rPr>
                <w:rFonts w:ascii="Verdana" w:hAnsi="Verdana"/>
              </w:rPr>
              <w:lastRenderedPageBreak/>
              <w:t xml:space="preserve">Monitor and develop the performance </w:t>
            </w:r>
            <w:r w:rsidR="00B42640">
              <w:rPr>
                <w:rFonts w:ascii="Verdana" w:hAnsi="Verdana"/>
              </w:rPr>
              <w:t>of and</w:t>
            </w:r>
            <w:r>
              <w:rPr>
                <w:rFonts w:ascii="Verdana" w:hAnsi="Verdana"/>
              </w:rPr>
              <w:t xml:space="preserve"> manage the risks in relation to a range of </w:t>
            </w:r>
            <w:r w:rsidR="00B42640">
              <w:rPr>
                <w:rFonts w:ascii="Verdana" w:hAnsi="Verdana"/>
              </w:rPr>
              <w:t>b</w:t>
            </w:r>
            <w:r>
              <w:rPr>
                <w:rFonts w:ascii="Verdana" w:hAnsi="Verdana"/>
              </w:rPr>
              <w:t xml:space="preserve">udget </w:t>
            </w:r>
            <w:r w:rsidR="00B42640">
              <w:rPr>
                <w:rFonts w:ascii="Verdana" w:hAnsi="Verdana"/>
              </w:rPr>
              <w:t>a</w:t>
            </w:r>
            <w:r>
              <w:rPr>
                <w:rFonts w:ascii="Verdana" w:hAnsi="Verdana"/>
              </w:rPr>
              <w:t>ccounts</w:t>
            </w:r>
            <w:r w:rsidR="00B42640">
              <w:rPr>
                <w:rFonts w:ascii="Verdana" w:hAnsi="Verdana"/>
              </w:rPr>
              <w:t>.</w:t>
            </w:r>
          </w:p>
          <w:p w:rsidR="00532B13" w:rsidRDefault="00532B13" w:rsidP="00DE0918">
            <w:pPr>
              <w:numPr>
                <w:ilvl w:val="0"/>
                <w:numId w:val="1"/>
              </w:numPr>
              <w:rPr>
                <w:rFonts w:ascii="Verdana" w:hAnsi="Verdana"/>
              </w:rPr>
            </w:pPr>
            <w:r>
              <w:rPr>
                <w:rFonts w:ascii="Verdana" w:hAnsi="Verdana"/>
              </w:rPr>
              <w:t>Contribute to the strategy on tender submissions for major contracts to ensure that they are competitive and viable for the Council.</w:t>
            </w:r>
          </w:p>
          <w:p w:rsidR="00532B13" w:rsidRDefault="00532B13" w:rsidP="00DE0918">
            <w:pPr>
              <w:numPr>
                <w:ilvl w:val="0"/>
                <w:numId w:val="1"/>
              </w:numPr>
              <w:rPr>
                <w:rFonts w:ascii="Verdana" w:hAnsi="Verdana"/>
              </w:rPr>
            </w:pPr>
            <w:r>
              <w:rPr>
                <w:rFonts w:ascii="Verdana" w:hAnsi="Verdana"/>
              </w:rPr>
              <w:t>Lead the development and implementation of performance improvements and corporate initiatives to deliver modern and focused service delivery</w:t>
            </w:r>
            <w:r w:rsidR="00B42640">
              <w:rPr>
                <w:rFonts w:ascii="Verdana" w:hAnsi="Verdana"/>
              </w:rPr>
              <w:t>.</w:t>
            </w:r>
          </w:p>
          <w:p w:rsidR="00532B13" w:rsidRDefault="00532B13" w:rsidP="00DE0918">
            <w:pPr>
              <w:numPr>
                <w:ilvl w:val="0"/>
                <w:numId w:val="1"/>
              </w:numPr>
              <w:rPr>
                <w:rFonts w:ascii="Verdana" w:hAnsi="Verdana"/>
              </w:rPr>
            </w:pPr>
            <w:r>
              <w:rPr>
                <w:rFonts w:ascii="Verdana" w:hAnsi="Verdana"/>
              </w:rPr>
              <w:t xml:space="preserve">Harness and align the Council’s professional and technical expertise to deliver the desired spatial outcomes for the Borough. </w:t>
            </w:r>
          </w:p>
          <w:p w:rsidR="00532B13" w:rsidRDefault="00532B13" w:rsidP="00DE0918">
            <w:pPr>
              <w:numPr>
                <w:ilvl w:val="0"/>
                <w:numId w:val="1"/>
              </w:numPr>
              <w:rPr>
                <w:rFonts w:ascii="Verdana" w:hAnsi="Verdana"/>
              </w:rPr>
            </w:pPr>
            <w:r>
              <w:rPr>
                <w:rFonts w:ascii="Verdana" w:hAnsi="Verdana"/>
              </w:rPr>
              <w:t>Lead the delivery of sustainable solutions to address the transport issues in the area.</w:t>
            </w:r>
          </w:p>
          <w:p w:rsidR="00532B13" w:rsidRDefault="00532B13" w:rsidP="00DE0918">
            <w:pPr>
              <w:numPr>
                <w:ilvl w:val="0"/>
                <w:numId w:val="1"/>
              </w:numPr>
              <w:rPr>
                <w:rFonts w:ascii="Verdana" w:hAnsi="Verdana"/>
              </w:rPr>
            </w:pPr>
            <w:r>
              <w:rPr>
                <w:rFonts w:ascii="Verdana" w:hAnsi="Verdana"/>
              </w:rPr>
              <w:t>Lead the development of economic regeneration initiatives to improve economic prosperity.</w:t>
            </w:r>
          </w:p>
          <w:p w:rsidR="00532B13" w:rsidRDefault="00532B13" w:rsidP="00DE0918">
            <w:pPr>
              <w:numPr>
                <w:ilvl w:val="0"/>
                <w:numId w:val="1"/>
              </w:numPr>
              <w:rPr>
                <w:rFonts w:ascii="Verdana" w:hAnsi="Verdana"/>
              </w:rPr>
            </w:pPr>
            <w:r>
              <w:rPr>
                <w:rFonts w:ascii="Verdana" w:hAnsi="Verdana"/>
              </w:rPr>
              <w:t>Influence regional policy for transport, land use and economy to ensure that Gateshead benefits.</w:t>
            </w:r>
          </w:p>
          <w:p w:rsidR="00532B13" w:rsidRDefault="00532B13" w:rsidP="00DE0918">
            <w:pPr>
              <w:numPr>
                <w:ilvl w:val="0"/>
                <w:numId w:val="1"/>
              </w:numPr>
              <w:rPr>
                <w:rFonts w:ascii="Verdana" w:hAnsi="Verdana"/>
              </w:rPr>
            </w:pPr>
            <w:r>
              <w:rPr>
                <w:rFonts w:ascii="Verdana" w:hAnsi="Verdana"/>
              </w:rPr>
              <w:t>Develop and implement the local spatial strategies to meet the needs of the Council.</w:t>
            </w:r>
          </w:p>
          <w:p w:rsidR="001C0F8D" w:rsidRDefault="001C0F8D" w:rsidP="00DE0918">
            <w:pPr>
              <w:numPr>
                <w:ilvl w:val="0"/>
                <w:numId w:val="1"/>
              </w:numPr>
              <w:rPr>
                <w:rFonts w:ascii="Verdana" w:hAnsi="Verdana"/>
              </w:rPr>
            </w:pPr>
            <w:r>
              <w:rPr>
                <w:rFonts w:ascii="Verdana" w:hAnsi="Verdana"/>
              </w:rPr>
              <w:t>Lead the delivery of a comprehensive strategic asset management service.</w:t>
            </w:r>
          </w:p>
          <w:p w:rsidR="00D84C83" w:rsidRPr="00D84C83" w:rsidRDefault="00D84C83" w:rsidP="00D84C83">
            <w:pPr>
              <w:pStyle w:val="ListParagraph"/>
              <w:numPr>
                <w:ilvl w:val="0"/>
                <w:numId w:val="1"/>
              </w:numPr>
              <w:rPr>
                <w:rFonts w:ascii="Verdana" w:hAnsi="Verdana"/>
              </w:rPr>
            </w:pPr>
            <w:r w:rsidRPr="00D84C83">
              <w:rPr>
                <w:rFonts w:ascii="Verdana" w:hAnsi="Verdana"/>
              </w:rPr>
              <w:t>Further development and implementation of a corporate landlord model for the oversight of the Council’s operational and commercial property portfolios.</w:t>
            </w:r>
          </w:p>
          <w:p w:rsidR="00D84C83" w:rsidRDefault="00D84C83" w:rsidP="00D84C83">
            <w:pPr>
              <w:ind w:left="283"/>
              <w:rPr>
                <w:rFonts w:ascii="Verdana" w:hAnsi="Verdana"/>
              </w:rPr>
            </w:pPr>
          </w:p>
          <w:p w:rsidR="00532B13" w:rsidRDefault="00532B13" w:rsidP="00B42640">
            <w:pPr>
              <w:ind w:left="283"/>
              <w:rPr>
                <w:rFonts w:ascii="Verdana" w:hAnsi="Verdana"/>
              </w:rPr>
            </w:pPr>
          </w:p>
        </w:tc>
        <w:tc>
          <w:tcPr>
            <w:tcW w:w="2693" w:type="dxa"/>
          </w:tcPr>
          <w:p w:rsidR="00532B13" w:rsidRDefault="00532B13" w:rsidP="00532B13">
            <w:pPr>
              <w:numPr>
                <w:ilvl w:val="0"/>
                <w:numId w:val="1"/>
              </w:numPr>
              <w:rPr>
                <w:rFonts w:ascii="Verdana" w:hAnsi="Verdana"/>
              </w:rPr>
            </w:pPr>
            <w:r>
              <w:rPr>
                <w:rFonts w:ascii="Verdana" w:hAnsi="Verdana"/>
              </w:rPr>
              <w:lastRenderedPageBreak/>
              <w:t>Service and c</w:t>
            </w:r>
            <w:r w:rsidRPr="00E9789B">
              <w:rPr>
                <w:rFonts w:ascii="Verdana" w:hAnsi="Verdana"/>
              </w:rPr>
              <w:t>ontract</w:t>
            </w:r>
            <w:r>
              <w:rPr>
                <w:rFonts w:ascii="Verdana" w:hAnsi="Verdana"/>
              </w:rPr>
              <w:t xml:space="preserve"> delivery</w:t>
            </w:r>
          </w:p>
          <w:p w:rsidR="00532B13" w:rsidRPr="00E9789B" w:rsidRDefault="00532B13" w:rsidP="00532B13">
            <w:pPr>
              <w:numPr>
                <w:ilvl w:val="0"/>
                <w:numId w:val="1"/>
              </w:numPr>
              <w:rPr>
                <w:rFonts w:ascii="Verdana" w:hAnsi="Verdana"/>
              </w:rPr>
            </w:pPr>
            <w:r w:rsidRPr="00E9789B">
              <w:rPr>
                <w:rFonts w:ascii="Verdana" w:hAnsi="Verdana"/>
              </w:rPr>
              <w:t>Strategic focus</w:t>
            </w:r>
          </w:p>
          <w:p w:rsidR="00532B13" w:rsidRPr="00E9789B" w:rsidRDefault="00532B13" w:rsidP="00532B13">
            <w:pPr>
              <w:numPr>
                <w:ilvl w:val="0"/>
                <w:numId w:val="1"/>
              </w:numPr>
              <w:rPr>
                <w:rFonts w:ascii="Verdana" w:hAnsi="Verdana"/>
              </w:rPr>
            </w:pPr>
            <w:r>
              <w:rPr>
                <w:rFonts w:ascii="Verdana" w:hAnsi="Verdana"/>
              </w:rPr>
              <w:t>Financial performance</w:t>
            </w:r>
          </w:p>
          <w:p w:rsidR="00532B13" w:rsidRPr="00E9789B" w:rsidRDefault="00532B13" w:rsidP="00532B13">
            <w:pPr>
              <w:numPr>
                <w:ilvl w:val="0"/>
                <w:numId w:val="1"/>
              </w:numPr>
              <w:rPr>
                <w:rFonts w:ascii="Verdana" w:hAnsi="Verdana"/>
              </w:rPr>
            </w:pPr>
            <w:r w:rsidRPr="00E9789B">
              <w:rPr>
                <w:rFonts w:ascii="Verdana" w:hAnsi="Verdana"/>
              </w:rPr>
              <w:t>Culture change</w:t>
            </w:r>
          </w:p>
          <w:p w:rsidR="00532B13" w:rsidRDefault="00532B13" w:rsidP="00532B13">
            <w:pPr>
              <w:numPr>
                <w:ilvl w:val="0"/>
                <w:numId w:val="1"/>
              </w:numPr>
              <w:rPr>
                <w:rFonts w:ascii="Verdana" w:hAnsi="Verdana"/>
              </w:rPr>
            </w:pPr>
            <w:r w:rsidRPr="00E9789B">
              <w:rPr>
                <w:rFonts w:ascii="Verdana" w:hAnsi="Verdana"/>
              </w:rPr>
              <w:t>Customer satisfaction</w:t>
            </w:r>
          </w:p>
          <w:p w:rsidR="00532B13" w:rsidRDefault="00532B13" w:rsidP="00532B13">
            <w:pPr>
              <w:numPr>
                <w:ilvl w:val="0"/>
                <w:numId w:val="1"/>
              </w:numPr>
              <w:rPr>
                <w:rFonts w:ascii="Verdana" w:hAnsi="Verdana"/>
              </w:rPr>
            </w:pPr>
            <w:r>
              <w:rPr>
                <w:rFonts w:ascii="Verdana" w:hAnsi="Verdana"/>
              </w:rPr>
              <w:t>Vibrant Communities</w:t>
            </w:r>
          </w:p>
          <w:p w:rsidR="00532B13" w:rsidRDefault="00532B13" w:rsidP="00532B13">
            <w:pPr>
              <w:numPr>
                <w:ilvl w:val="0"/>
                <w:numId w:val="1"/>
              </w:numPr>
              <w:rPr>
                <w:rFonts w:ascii="Verdana" w:hAnsi="Verdana"/>
              </w:rPr>
            </w:pPr>
            <w:r>
              <w:rPr>
                <w:rFonts w:ascii="Verdana" w:hAnsi="Verdana"/>
              </w:rPr>
              <w:t>Investment</w:t>
            </w:r>
          </w:p>
          <w:p w:rsidR="00532B13" w:rsidRDefault="00532B13" w:rsidP="00532B13">
            <w:pPr>
              <w:numPr>
                <w:ilvl w:val="0"/>
                <w:numId w:val="1"/>
              </w:numPr>
              <w:rPr>
                <w:rFonts w:ascii="Verdana" w:hAnsi="Verdana"/>
              </w:rPr>
            </w:pPr>
            <w:r w:rsidRPr="00E9789B">
              <w:rPr>
                <w:rFonts w:ascii="Verdana" w:hAnsi="Verdana"/>
              </w:rPr>
              <w:t>Partnership development</w:t>
            </w:r>
          </w:p>
          <w:p w:rsidR="00532B13" w:rsidRDefault="00532B13" w:rsidP="00532B13">
            <w:pPr>
              <w:numPr>
                <w:ilvl w:val="0"/>
                <w:numId w:val="1"/>
              </w:numPr>
              <w:rPr>
                <w:rFonts w:ascii="Verdana" w:hAnsi="Verdana"/>
              </w:rPr>
            </w:pPr>
            <w:r>
              <w:rPr>
                <w:rFonts w:ascii="Verdana" w:hAnsi="Verdana"/>
              </w:rPr>
              <w:t>Project Deliverables</w:t>
            </w:r>
          </w:p>
          <w:p w:rsidR="00532B13" w:rsidRDefault="00532B13" w:rsidP="00532B13">
            <w:pPr>
              <w:numPr>
                <w:ilvl w:val="0"/>
                <w:numId w:val="1"/>
              </w:numPr>
              <w:rPr>
                <w:rFonts w:ascii="Verdana" w:hAnsi="Verdana"/>
              </w:rPr>
            </w:pPr>
            <w:r>
              <w:rPr>
                <w:rFonts w:ascii="Verdana" w:hAnsi="Verdana"/>
              </w:rPr>
              <w:t>Sustainability</w:t>
            </w:r>
          </w:p>
          <w:p w:rsidR="00532B13" w:rsidRDefault="00532B13" w:rsidP="00532B13">
            <w:pPr>
              <w:rPr>
                <w:rFonts w:ascii="Verdana" w:hAnsi="Verdana"/>
              </w:rPr>
            </w:pPr>
          </w:p>
        </w:tc>
        <w:tc>
          <w:tcPr>
            <w:tcW w:w="3544" w:type="dxa"/>
          </w:tcPr>
          <w:p w:rsidR="00532B13" w:rsidRPr="00B42640" w:rsidRDefault="00532B13" w:rsidP="00532B13">
            <w:pPr>
              <w:numPr>
                <w:ilvl w:val="0"/>
                <w:numId w:val="1"/>
              </w:numPr>
              <w:rPr>
                <w:rFonts w:ascii="Verdana" w:hAnsi="Verdana"/>
              </w:rPr>
            </w:pPr>
            <w:r w:rsidRPr="00B42640">
              <w:rPr>
                <w:rFonts w:ascii="Verdana" w:hAnsi="Verdana"/>
              </w:rPr>
              <w:t>Extensive Local Government Experience</w:t>
            </w:r>
          </w:p>
          <w:p w:rsidR="00532B13" w:rsidRDefault="00532B13" w:rsidP="00532B13">
            <w:pPr>
              <w:numPr>
                <w:ilvl w:val="0"/>
                <w:numId w:val="1"/>
              </w:numPr>
              <w:rPr>
                <w:rFonts w:ascii="Verdana" w:hAnsi="Verdana"/>
              </w:rPr>
            </w:pPr>
            <w:r>
              <w:rPr>
                <w:rFonts w:ascii="Verdana" w:hAnsi="Verdana"/>
              </w:rPr>
              <w:t>Relevant professional qualification</w:t>
            </w:r>
          </w:p>
          <w:p w:rsidR="00532B13" w:rsidRDefault="00532B13" w:rsidP="00532B13">
            <w:pPr>
              <w:numPr>
                <w:ilvl w:val="0"/>
                <w:numId w:val="1"/>
              </w:numPr>
              <w:rPr>
                <w:rFonts w:ascii="Verdana" w:hAnsi="Verdana"/>
              </w:rPr>
            </w:pPr>
            <w:r>
              <w:rPr>
                <w:rFonts w:ascii="Verdana" w:hAnsi="Verdana"/>
              </w:rPr>
              <w:t>Previous senior managerial experience of substantial staff and budgets in the public sector</w:t>
            </w:r>
          </w:p>
          <w:p w:rsidR="00D60115" w:rsidRDefault="00D60115" w:rsidP="00532B13">
            <w:pPr>
              <w:numPr>
                <w:ilvl w:val="0"/>
                <w:numId w:val="1"/>
              </w:numPr>
              <w:rPr>
                <w:rFonts w:ascii="Verdana" w:hAnsi="Verdana"/>
              </w:rPr>
            </w:pPr>
            <w:r>
              <w:rPr>
                <w:rFonts w:ascii="Verdana" w:hAnsi="Verdana"/>
              </w:rPr>
              <w:t>Experience of influencing regional and national working</w:t>
            </w:r>
          </w:p>
          <w:p w:rsidR="00532B13" w:rsidRDefault="00532B13" w:rsidP="00532B13">
            <w:pPr>
              <w:numPr>
                <w:ilvl w:val="0"/>
                <w:numId w:val="1"/>
              </w:numPr>
              <w:rPr>
                <w:rFonts w:ascii="Verdana" w:hAnsi="Verdana"/>
              </w:rPr>
            </w:pPr>
            <w:r>
              <w:rPr>
                <w:rFonts w:ascii="Verdana" w:hAnsi="Verdana"/>
              </w:rPr>
              <w:t>Ability to act and think strategically</w:t>
            </w:r>
          </w:p>
          <w:p w:rsidR="00532B13" w:rsidRDefault="00532B13" w:rsidP="00532B13">
            <w:pPr>
              <w:numPr>
                <w:ilvl w:val="0"/>
                <w:numId w:val="1"/>
              </w:numPr>
              <w:rPr>
                <w:rFonts w:ascii="Verdana" w:hAnsi="Verdana"/>
              </w:rPr>
            </w:pPr>
            <w:r>
              <w:rPr>
                <w:rFonts w:ascii="Verdana" w:hAnsi="Verdana"/>
              </w:rPr>
              <w:t>Ability to define and present a vision for the Council</w:t>
            </w:r>
          </w:p>
          <w:p w:rsidR="00532B13" w:rsidRDefault="00EE61C6" w:rsidP="00532B13">
            <w:pPr>
              <w:numPr>
                <w:ilvl w:val="0"/>
                <w:numId w:val="1"/>
              </w:numPr>
              <w:rPr>
                <w:rFonts w:ascii="Verdana" w:hAnsi="Verdana"/>
              </w:rPr>
            </w:pPr>
            <w:r>
              <w:rPr>
                <w:rFonts w:ascii="Verdana" w:hAnsi="Verdana"/>
              </w:rPr>
              <w:t xml:space="preserve">Experience </w:t>
            </w:r>
            <w:r w:rsidR="00532B13">
              <w:rPr>
                <w:rFonts w:ascii="Verdana" w:hAnsi="Verdana"/>
              </w:rPr>
              <w:t>of contracts</w:t>
            </w:r>
          </w:p>
          <w:p w:rsidR="00EE61C6" w:rsidRPr="00CF20D1" w:rsidRDefault="00EE61C6" w:rsidP="00532B13">
            <w:pPr>
              <w:numPr>
                <w:ilvl w:val="0"/>
                <w:numId w:val="1"/>
              </w:numPr>
              <w:rPr>
                <w:rFonts w:ascii="Verdana" w:hAnsi="Verdana"/>
              </w:rPr>
            </w:pPr>
            <w:r>
              <w:rPr>
                <w:rFonts w:ascii="Verdana" w:hAnsi="Verdana"/>
              </w:rPr>
              <w:t>Substantial experience of delivering successful major projects</w:t>
            </w:r>
          </w:p>
          <w:p w:rsidR="00532B13" w:rsidRDefault="00EE61C6" w:rsidP="00532B13">
            <w:pPr>
              <w:numPr>
                <w:ilvl w:val="0"/>
                <w:numId w:val="1"/>
              </w:numPr>
              <w:rPr>
                <w:rFonts w:ascii="Verdana" w:hAnsi="Verdana"/>
              </w:rPr>
            </w:pPr>
            <w:r>
              <w:rPr>
                <w:rFonts w:ascii="Verdana" w:hAnsi="Verdana"/>
              </w:rPr>
              <w:t xml:space="preserve">Effective </w:t>
            </w:r>
            <w:r w:rsidR="00532B13">
              <w:rPr>
                <w:rFonts w:ascii="Verdana" w:hAnsi="Verdana"/>
              </w:rPr>
              <w:t>Communication skills</w:t>
            </w:r>
          </w:p>
          <w:p w:rsidR="00532B13" w:rsidRDefault="00532B13" w:rsidP="00532B13">
            <w:pPr>
              <w:numPr>
                <w:ilvl w:val="0"/>
                <w:numId w:val="1"/>
              </w:numPr>
              <w:rPr>
                <w:rFonts w:ascii="Verdana" w:hAnsi="Verdana"/>
              </w:rPr>
            </w:pPr>
            <w:r>
              <w:rPr>
                <w:rFonts w:ascii="Verdana" w:hAnsi="Verdana"/>
              </w:rPr>
              <w:t>Media experience</w:t>
            </w:r>
          </w:p>
          <w:p w:rsidR="00532B13" w:rsidRDefault="00532B13" w:rsidP="00532B13">
            <w:pPr>
              <w:numPr>
                <w:ilvl w:val="0"/>
                <w:numId w:val="1"/>
              </w:numPr>
              <w:rPr>
                <w:rFonts w:ascii="Verdana" w:hAnsi="Verdana"/>
              </w:rPr>
            </w:pPr>
            <w:r>
              <w:rPr>
                <w:rFonts w:ascii="Verdana" w:hAnsi="Verdana"/>
              </w:rPr>
              <w:t>Political awareness</w:t>
            </w:r>
          </w:p>
          <w:p w:rsidR="00532B13" w:rsidRDefault="00532B13" w:rsidP="00532B13">
            <w:pPr>
              <w:numPr>
                <w:ilvl w:val="0"/>
                <w:numId w:val="1"/>
              </w:numPr>
              <w:rPr>
                <w:rFonts w:ascii="Verdana" w:hAnsi="Verdana"/>
              </w:rPr>
            </w:pPr>
            <w:r>
              <w:rPr>
                <w:rFonts w:ascii="Verdana" w:hAnsi="Verdana"/>
              </w:rPr>
              <w:t>Strong relationship building ability</w:t>
            </w:r>
          </w:p>
          <w:p w:rsidR="00532B13" w:rsidRDefault="00532B13" w:rsidP="00532B13">
            <w:pPr>
              <w:numPr>
                <w:ilvl w:val="0"/>
                <w:numId w:val="1"/>
              </w:numPr>
              <w:rPr>
                <w:rFonts w:ascii="Verdana" w:hAnsi="Verdana"/>
              </w:rPr>
            </w:pPr>
            <w:r>
              <w:rPr>
                <w:rFonts w:ascii="Verdana" w:hAnsi="Verdana"/>
              </w:rPr>
              <w:t>Proven track record of complex project management</w:t>
            </w:r>
          </w:p>
        </w:tc>
        <w:tc>
          <w:tcPr>
            <w:tcW w:w="2552" w:type="dxa"/>
          </w:tcPr>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Directing Strategy</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Corporate Responsibility</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Building a shared vision</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Change Leadership</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Managing Service Delivery</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Business Acumen</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 xml:space="preserve">Facilitating Change </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Communication and Engagement</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Developing teams and individuals</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Managing performance</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Personal impact</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Making things happen</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Customer Focus</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Communication</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Team Working</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Flexibility</w:t>
            </w:r>
          </w:p>
          <w:p w:rsidR="00532B13" w:rsidRPr="00EB4930" w:rsidRDefault="00532B13" w:rsidP="00532B13">
            <w:pPr>
              <w:pStyle w:val="ListParagraph"/>
              <w:numPr>
                <w:ilvl w:val="0"/>
                <w:numId w:val="2"/>
              </w:numPr>
              <w:rPr>
                <w:rFonts w:ascii="Verdana" w:hAnsi="Verdana" w:cs="Vrinda"/>
              </w:rPr>
            </w:pPr>
            <w:r w:rsidRPr="00EB4930">
              <w:rPr>
                <w:rFonts w:ascii="Verdana" w:hAnsi="Verdana" w:cs="Vrinda"/>
              </w:rPr>
              <w:t xml:space="preserve">Learning and Development </w:t>
            </w:r>
          </w:p>
          <w:p w:rsidR="00532B13" w:rsidRDefault="00532B13" w:rsidP="00532B13">
            <w:pPr>
              <w:ind w:left="283"/>
              <w:rPr>
                <w:rFonts w:ascii="Verdana" w:hAnsi="Verdana"/>
              </w:rPr>
            </w:pPr>
          </w:p>
        </w:tc>
      </w:tr>
    </w:tbl>
    <w:p w:rsidR="000A23C9" w:rsidRDefault="000A23C9"/>
    <w:sectPr w:rsidR="000A23C9" w:rsidSect="003707CD">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ED8" w:rsidRDefault="00A31ED8" w:rsidP="00730D3F">
      <w:r>
        <w:separator/>
      </w:r>
    </w:p>
  </w:endnote>
  <w:endnote w:type="continuationSeparator" w:id="0">
    <w:p w:rsidR="00A31ED8" w:rsidRDefault="00A31ED8" w:rsidP="0073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D8" w:rsidRDefault="00A31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6" w:type="dxa"/>
      <w:tblInd w:w="-142" w:type="dxa"/>
      <w:tblLayout w:type="fixed"/>
      <w:tblLook w:val="0000" w:firstRow="0" w:lastRow="0" w:firstColumn="0" w:lastColumn="0" w:noHBand="0" w:noVBand="0"/>
    </w:tblPr>
    <w:tblGrid>
      <w:gridCol w:w="7088"/>
      <w:gridCol w:w="7088"/>
    </w:tblGrid>
    <w:tr w:rsidR="00A31ED8" w:rsidTr="00B42640">
      <w:tc>
        <w:tcPr>
          <w:tcW w:w="7088" w:type="dxa"/>
          <w:tcBorders>
            <w:top w:val="single" w:sz="6" w:space="0" w:color="auto"/>
          </w:tcBorders>
        </w:tcPr>
        <w:p w:rsidR="00A31ED8" w:rsidRDefault="00A31ED8" w:rsidP="00B42640">
          <w:pPr>
            <w:pStyle w:val="Footer"/>
            <w:rPr>
              <w:rFonts w:ascii="Franklin Gothic Book" w:hAnsi="Franklin Gothic Book"/>
              <w:sz w:val="16"/>
            </w:rPr>
          </w:pPr>
          <w:r>
            <w:rPr>
              <w:rFonts w:ascii="Franklin Gothic Book" w:hAnsi="Franklin Gothic Book"/>
              <w:sz w:val="16"/>
            </w:rPr>
            <w:t xml:space="preserve">September 2019  </w:t>
          </w:r>
        </w:p>
      </w:tc>
      <w:tc>
        <w:tcPr>
          <w:tcW w:w="7088" w:type="dxa"/>
          <w:tcBorders>
            <w:top w:val="single" w:sz="6" w:space="0" w:color="auto"/>
          </w:tcBorders>
        </w:tcPr>
        <w:p w:rsidR="00A31ED8" w:rsidRDefault="00A31ED8" w:rsidP="00B42640">
          <w:pPr>
            <w:pStyle w:val="Footer"/>
            <w:ind w:left="5946"/>
            <w:jc w:val="both"/>
            <w:rPr>
              <w:rFonts w:ascii="Franklin Gothic Book" w:hAnsi="Franklin Gothic Book"/>
              <w:sz w:val="16"/>
            </w:rPr>
          </w:pPr>
          <w:r>
            <w:rPr>
              <w:rFonts w:ascii="Franklin Gothic Book" w:hAnsi="Franklin Gothic Book"/>
              <w:sz w:val="16"/>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2</w:t>
          </w:r>
          <w:r>
            <w:rPr>
              <w:rStyle w:val="PageNumber"/>
            </w:rPr>
            <w:fldChar w:fldCharType="end"/>
          </w:r>
        </w:p>
      </w:tc>
    </w:tr>
  </w:tbl>
  <w:p w:rsidR="00A31ED8" w:rsidRPr="00B42640" w:rsidRDefault="00A31ED8" w:rsidP="00B4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D8" w:rsidRDefault="00A31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ED8" w:rsidRDefault="00A31ED8" w:rsidP="00730D3F">
      <w:r>
        <w:separator/>
      </w:r>
    </w:p>
  </w:footnote>
  <w:footnote w:type="continuationSeparator" w:id="0">
    <w:p w:rsidR="00A31ED8" w:rsidRDefault="00A31ED8" w:rsidP="00730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D8" w:rsidRDefault="00A31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D8" w:rsidRDefault="00A31ED8" w:rsidP="00B42640">
    <w:pPr>
      <w:pStyle w:val="Header"/>
      <w:ind w:right="-1068"/>
      <w:jc w:val="right"/>
    </w:pPr>
    <w:bookmarkStart w:id="1" w:name="_Hlk19023740"/>
    <w:r w:rsidRPr="00893862">
      <w:rPr>
        <w:noProof/>
      </w:rPr>
      <w:drawing>
        <wp:inline distT="0" distB="0" distL="0" distR="0">
          <wp:extent cx="1876425" cy="695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95325"/>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D8" w:rsidRDefault="00A31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E8E75A6"/>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numFmt w:val="decimal"/>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CD"/>
    <w:rsid w:val="000A23C9"/>
    <w:rsid w:val="001C0F8D"/>
    <w:rsid w:val="00207AEC"/>
    <w:rsid w:val="00243DBE"/>
    <w:rsid w:val="002618D4"/>
    <w:rsid w:val="002C4F01"/>
    <w:rsid w:val="002E50A3"/>
    <w:rsid w:val="003707CD"/>
    <w:rsid w:val="004600D8"/>
    <w:rsid w:val="004E061A"/>
    <w:rsid w:val="00532B13"/>
    <w:rsid w:val="00730D3F"/>
    <w:rsid w:val="007C7605"/>
    <w:rsid w:val="007F562B"/>
    <w:rsid w:val="00847B67"/>
    <w:rsid w:val="008F1202"/>
    <w:rsid w:val="00934711"/>
    <w:rsid w:val="009515B6"/>
    <w:rsid w:val="009576E9"/>
    <w:rsid w:val="009A5387"/>
    <w:rsid w:val="009F153E"/>
    <w:rsid w:val="00A31ED8"/>
    <w:rsid w:val="00A628B6"/>
    <w:rsid w:val="00AA468C"/>
    <w:rsid w:val="00B16F85"/>
    <w:rsid w:val="00B42640"/>
    <w:rsid w:val="00C756E4"/>
    <w:rsid w:val="00C97022"/>
    <w:rsid w:val="00D60115"/>
    <w:rsid w:val="00D84C83"/>
    <w:rsid w:val="00D94C35"/>
    <w:rsid w:val="00DA4C88"/>
    <w:rsid w:val="00DC3D2D"/>
    <w:rsid w:val="00DE0918"/>
    <w:rsid w:val="00E30A75"/>
    <w:rsid w:val="00EE6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A398B774-71C0-4B84-A2E6-1F6110E9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7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D3F"/>
    <w:pPr>
      <w:tabs>
        <w:tab w:val="center" w:pos="4513"/>
        <w:tab w:val="right" w:pos="9026"/>
      </w:tabs>
    </w:pPr>
  </w:style>
  <w:style w:type="character" w:customStyle="1" w:styleId="HeaderChar">
    <w:name w:val="Header Char"/>
    <w:basedOn w:val="DefaultParagraphFont"/>
    <w:link w:val="Header"/>
    <w:uiPriority w:val="99"/>
    <w:rsid w:val="00730D3F"/>
    <w:rPr>
      <w:rFonts w:ascii="Times New Roman" w:eastAsia="Times New Roman" w:hAnsi="Times New Roman" w:cs="Times New Roman"/>
      <w:sz w:val="20"/>
      <w:szCs w:val="20"/>
      <w:lang w:eastAsia="en-GB"/>
    </w:rPr>
  </w:style>
  <w:style w:type="paragraph" w:styleId="Footer">
    <w:name w:val="footer"/>
    <w:basedOn w:val="Normal"/>
    <w:link w:val="FooterChar"/>
    <w:unhideWhenUsed/>
    <w:rsid w:val="00730D3F"/>
    <w:pPr>
      <w:tabs>
        <w:tab w:val="center" w:pos="4513"/>
        <w:tab w:val="right" w:pos="9026"/>
      </w:tabs>
    </w:pPr>
  </w:style>
  <w:style w:type="character" w:customStyle="1" w:styleId="FooterChar">
    <w:name w:val="Footer Char"/>
    <w:basedOn w:val="DefaultParagraphFont"/>
    <w:link w:val="Footer"/>
    <w:uiPriority w:val="99"/>
    <w:rsid w:val="00730D3F"/>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C3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D2D"/>
    <w:rPr>
      <w:rFonts w:ascii="Segoe UI" w:eastAsia="Times New Roman" w:hAnsi="Segoe UI" w:cs="Segoe UI"/>
      <w:sz w:val="18"/>
      <w:szCs w:val="18"/>
      <w:lang w:eastAsia="en-GB"/>
    </w:rPr>
  </w:style>
  <w:style w:type="paragraph" w:styleId="ListParagraph">
    <w:name w:val="List Paragraph"/>
    <w:basedOn w:val="Normal"/>
    <w:uiPriority w:val="34"/>
    <w:qFormat/>
    <w:rsid w:val="00532B13"/>
    <w:pPr>
      <w:ind w:left="720"/>
      <w:contextualSpacing/>
    </w:pPr>
  </w:style>
  <w:style w:type="character" w:styleId="PageNumber">
    <w:name w:val="page number"/>
    <w:rsid w:val="00B42640"/>
    <w:rPr>
      <w:rFonts w:ascii="Franklin Gothic Book" w:hAnsi="Franklin Gothic Boo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2716F02A.dotm</Template>
  <TotalTime>0</TotalTime>
  <Pages>2</Pages>
  <Words>580</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Storey</dc:creator>
  <cp:keywords/>
  <dc:description/>
  <cp:lastModifiedBy>Christine Jeffels</cp:lastModifiedBy>
  <cp:revision>2</cp:revision>
  <dcterms:created xsi:type="dcterms:W3CDTF">2019-10-24T13:18:00Z</dcterms:created>
  <dcterms:modified xsi:type="dcterms:W3CDTF">2019-10-24T13:18:00Z</dcterms:modified>
</cp:coreProperties>
</file>