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HUNTCLIFF SCHOOL</w:t>
      </w:r>
    </w:p>
    <w:p w:rsidR="00D5088F" w:rsidRPr="0042565F" w:rsidRDefault="0042565F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Mainscale</w:t>
      </w:r>
      <w:proofErr w:type="spellEnd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88F"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Teacher of </w:t>
      </w:r>
      <w:r w:rsidR="00A75DE3">
        <w:rPr>
          <w:rFonts w:asciiTheme="minorHAnsi" w:hAnsiTheme="minorHAnsi" w:cstheme="minorHAnsi"/>
          <w:b/>
          <w:sz w:val="28"/>
          <w:szCs w:val="28"/>
          <w:u w:val="single"/>
        </w:rPr>
        <w:t>English</w:t>
      </w:r>
    </w:p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:rsidR="00416042" w:rsidRPr="0042565F" w:rsidRDefault="00416042" w:rsidP="0042565F">
      <w:pPr>
        <w:rPr>
          <w:rFonts w:asciiTheme="minorHAnsi" w:hAnsiTheme="minorHAnsi" w:cstheme="minorHAnsi"/>
          <w:b/>
          <w:u w:val="single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6300"/>
        <w:gridCol w:w="5940"/>
        <w:gridCol w:w="1980"/>
      </w:tblGrid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30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9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98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Education &amp; Training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:rsidR="00416042" w:rsidRPr="0042565F" w:rsidRDefault="00C9225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>raduate or equivalent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appropriate subject</w:t>
            </w:r>
          </w:p>
          <w:p w:rsidR="00FE2DB6" w:rsidRPr="0042565F" w:rsidRDefault="00FE2DB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to teach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English Language &amp; English Literature</w:t>
            </w:r>
          </w:p>
          <w:p w:rsidR="00FE2DB6" w:rsidRPr="0042565F" w:rsidRDefault="00FE2DB6" w:rsidP="00FE2D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5D1BB4" w:rsidRDefault="005D1BB4" w:rsidP="005D1BB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delivery extra-curricular activities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300" w:type="dxa"/>
          </w:tcPr>
          <w:p w:rsidR="00416042" w:rsidRPr="0042565F" w:rsidRDefault="00FE2DB6" w:rsidP="00FB14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uccessful 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KS4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 secondary school</w:t>
            </w:r>
            <w:r w:rsidR="00FB143D" w:rsidRPr="004256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6042" w:rsidRPr="0042565F" w:rsidRDefault="0041604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Using ICT in the preparation and delivery of learning activities</w:t>
            </w:r>
          </w:p>
          <w:p w:rsidR="00416042" w:rsidRPr="0042565F" w:rsidRDefault="00416042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5D1BB4" w:rsidRDefault="005D1BB4" w:rsidP="005D1BB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1BB4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learning outside of the classroom.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Letter of Application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6300" w:type="dxa"/>
          </w:tcPr>
          <w:p w:rsidR="00F927DF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the characteristics of high quality teaching</w:t>
            </w:r>
            <w:r w:rsidR="00F639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678B3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strategies for raising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attainment </w:t>
            </w:r>
          </w:p>
          <w:p w:rsidR="00416042" w:rsidRPr="0042565F" w:rsidRDefault="00416042" w:rsidP="004446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statutory curriculum, assessment, recording and reporting requirements for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English.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how to use comparative data, together with information about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s’ prior attainment to set targets for improvement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Good oral and written communication skills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prioritise, plan and organise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Competency in I</w:t>
            </w:r>
            <w:r w:rsidR="005D1B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solve problems and make decisions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take responsibility for continuous self professional    development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inspire </w:t>
            </w:r>
            <w:r w:rsidR="00A75DE3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 and staff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work under pressure and to meet deadlines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Analyse, understand and interpret relevant information and data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</w:tbl>
    <w:p w:rsidR="00416042" w:rsidRDefault="0041604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D1BB4" w:rsidRDefault="005D1BB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348EF" w:rsidRDefault="00B348E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00"/>
        <w:gridCol w:w="708"/>
        <w:gridCol w:w="709"/>
        <w:gridCol w:w="709"/>
      </w:tblGrid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B348EF">
              <w:rPr>
                <w:rFonts w:asciiTheme="minorHAnsi" w:hAnsiTheme="minorHAnsi" w:cstheme="minorHAnsi"/>
                <w:b/>
                <w:color w:val="0000FF"/>
                <w:lang w:eastAsia="ar-SA"/>
              </w:rPr>
              <w:lastRenderedPageBreak/>
              <w:t xml:space="preserve">Personal attributes </w:t>
            </w:r>
          </w:p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B348E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App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B348E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I/A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FF"/>
                <w:lang w:eastAsia="ar-SA"/>
              </w:rPr>
            </w:pPr>
            <w:r w:rsidRPr="00B348EF">
              <w:rPr>
                <w:rFonts w:asciiTheme="minorHAnsi" w:hAnsiTheme="minorHAnsi" w:cstheme="minorHAnsi"/>
                <w:b/>
                <w:color w:val="0000FF"/>
                <w:lang w:eastAsia="ar-SA"/>
              </w:rPr>
              <w:t>R/C</w:t>
            </w:r>
          </w:p>
        </w:tc>
      </w:tr>
      <w:tr w:rsidR="005D1BB4" w:rsidRPr="00DE2C92" w:rsidTr="005D1BB4">
        <w:trPr>
          <w:trHeight w:val="249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 xml:space="preserve">1. An unshakeable belief in the right of children and young people to high quality education and to raising standards of achievement, while </w:t>
            </w:r>
            <w:proofErr w:type="spellStart"/>
            <w:r w:rsidRPr="00B348EF">
              <w:rPr>
                <w:rFonts w:asciiTheme="minorHAnsi" w:hAnsiTheme="minorHAnsi" w:cstheme="minorHAnsi"/>
                <w:lang w:val="en-US" w:eastAsia="ar-SA"/>
              </w:rPr>
              <w:t>recognising</w:t>
            </w:r>
            <w:proofErr w:type="spellEnd"/>
            <w:r w:rsidRPr="00B348EF">
              <w:rPr>
                <w:rFonts w:asciiTheme="minorHAnsi" w:hAnsiTheme="minorHAnsi" w:cstheme="minorHAnsi"/>
                <w:lang w:val="en-US" w:eastAsia="ar-SA"/>
              </w:rPr>
              <w:t xml:space="preserve"> the value and worth of each individual and providing an experience which meets their needs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>2. The ability to work as part of a team to improve outcomes for all learners.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 xml:space="preserve">3. Energy, </w:t>
            </w:r>
            <w:proofErr w:type="spellStart"/>
            <w:r w:rsidRPr="00B348EF">
              <w:rPr>
                <w:rFonts w:asciiTheme="minorHAnsi" w:hAnsiTheme="minorHAnsi" w:cstheme="minorHAnsi"/>
                <w:lang w:val="en-US" w:eastAsia="ar-SA"/>
              </w:rPr>
              <w:t>vigour</w:t>
            </w:r>
            <w:proofErr w:type="spellEnd"/>
            <w:r w:rsidRPr="00B348EF">
              <w:rPr>
                <w:rFonts w:asciiTheme="minorHAnsi" w:hAnsiTheme="minorHAnsi" w:cstheme="minorHAnsi"/>
                <w:lang w:val="en-US" w:eastAsia="ar-SA"/>
              </w:rPr>
              <w:t xml:space="preserve"> and perseverance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>4. Ability to work calmly, patiently and sensitively under pressure and to manage and resolve conflict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BB4" w:rsidRPr="00B348EF" w:rsidRDefault="005D1BB4" w:rsidP="00064975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>5. Possesses integrity, commitment, enthusiasm and reliability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064975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>6. A lifelong learner who understands the value of creative and innovative thinking and of taking appropriate measured risks as a means to improvement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  <w:tr w:rsidR="005D1BB4" w:rsidRPr="00DE2C92" w:rsidTr="005D1BB4"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val="en-US" w:eastAsia="ar-SA"/>
              </w:rPr>
            </w:pPr>
            <w:r w:rsidRPr="00B348EF">
              <w:rPr>
                <w:rFonts w:asciiTheme="minorHAnsi" w:hAnsiTheme="minorHAnsi" w:cstheme="minorHAnsi"/>
                <w:lang w:val="en-US" w:eastAsia="ar-SA"/>
              </w:rPr>
              <w:t>7. A willingness to offer extra-curricular activities.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B4" w:rsidRPr="00B348EF" w:rsidRDefault="005D1BB4" w:rsidP="005D1BB4">
            <w:pPr>
              <w:rPr>
                <w:rFonts w:asciiTheme="minorHAnsi" w:hAnsiTheme="minorHAnsi" w:cstheme="minorHAnsi"/>
              </w:rPr>
            </w:pPr>
            <w:r w:rsidRPr="00B348EF">
              <w:rPr>
                <w:rFonts w:asciiTheme="minorHAnsi" w:hAnsiTheme="minorHAnsi" w:cstheme="minorHAnsi"/>
                <w:lang w:eastAsia="ar-SA"/>
              </w:rPr>
              <w:sym w:font="Wingdings" w:char="F0FC"/>
            </w:r>
          </w:p>
        </w:tc>
      </w:tr>
    </w:tbl>
    <w:p w:rsidR="005D1BB4" w:rsidRDefault="005D1BB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sectPr w:rsidR="005D1BB4" w:rsidSect="0042565F">
      <w:headerReference w:type="default" r:id="rId7"/>
      <w:pgSz w:w="16838" w:h="11906" w:orient="landscape"/>
      <w:pgMar w:top="426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B2" w:rsidRDefault="00AE4DB2" w:rsidP="0042565F">
      <w:r>
        <w:separator/>
      </w:r>
    </w:p>
  </w:endnote>
  <w:endnote w:type="continuationSeparator" w:id="0">
    <w:p w:rsidR="00AE4DB2" w:rsidRDefault="00AE4DB2" w:rsidP="004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B2" w:rsidRDefault="00AE4DB2" w:rsidP="0042565F">
      <w:r>
        <w:separator/>
      </w:r>
    </w:p>
  </w:footnote>
  <w:footnote w:type="continuationSeparator" w:id="0">
    <w:p w:rsidR="00AE4DB2" w:rsidRDefault="00AE4DB2" w:rsidP="0042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5F" w:rsidRDefault="0042565F" w:rsidP="0042565F">
    <w:pPr>
      <w:pStyle w:val="Header"/>
      <w:ind w:hanging="993"/>
    </w:pPr>
    <w:r>
      <w:rPr>
        <w:noProof/>
        <w:lang w:eastAsia="en-GB"/>
      </w:rPr>
      <w:drawing>
        <wp:inline distT="0" distB="0" distL="0" distR="0">
          <wp:extent cx="790575" cy="933450"/>
          <wp:effectExtent l="0" t="0" r="0" b="0"/>
          <wp:docPr id="81" name="Picture 81" descr="\\SLC-FLS01\staffhome$\HCS\hollerenshaw\My Pictures\Campus Logos\HS logo new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\\SLC-FLS01\staffhome$\HCS\hollerenshaw\My Pictures\Campus Logos\HS logo new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38D"/>
    <w:multiLevelType w:val="hybridMultilevel"/>
    <w:tmpl w:val="0F3CF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D1"/>
    <w:multiLevelType w:val="hybridMultilevel"/>
    <w:tmpl w:val="38AA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53F"/>
    <w:multiLevelType w:val="hybridMultilevel"/>
    <w:tmpl w:val="CC742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129A"/>
    <w:multiLevelType w:val="hybridMultilevel"/>
    <w:tmpl w:val="860E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669"/>
    <w:multiLevelType w:val="hybridMultilevel"/>
    <w:tmpl w:val="80443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B2F91"/>
    <w:multiLevelType w:val="hybridMultilevel"/>
    <w:tmpl w:val="D7883CD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540B8"/>
    <w:multiLevelType w:val="hybridMultilevel"/>
    <w:tmpl w:val="CC6A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7"/>
    <w:rsid w:val="0021617A"/>
    <w:rsid w:val="0022168E"/>
    <w:rsid w:val="002930AF"/>
    <w:rsid w:val="00416042"/>
    <w:rsid w:val="0042565F"/>
    <w:rsid w:val="00444652"/>
    <w:rsid w:val="0050270B"/>
    <w:rsid w:val="005D1BB4"/>
    <w:rsid w:val="00686C7E"/>
    <w:rsid w:val="006D597C"/>
    <w:rsid w:val="00744678"/>
    <w:rsid w:val="007D63FA"/>
    <w:rsid w:val="008C1DCE"/>
    <w:rsid w:val="00917DA5"/>
    <w:rsid w:val="00922874"/>
    <w:rsid w:val="00A61C37"/>
    <w:rsid w:val="00A75DE3"/>
    <w:rsid w:val="00AE4DB2"/>
    <w:rsid w:val="00B348EF"/>
    <w:rsid w:val="00B672E3"/>
    <w:rsid w:val="00BE049A"/>
    <w:rsid w:val="00C92256"/>
    <w:rsid w:val="00D24A03"/>
    <w:rsid w:val="00D5088F"/>
    <w:rsid w:val="00DC5750"/>
    <w:rsid w:val="00E07D0C"/>
    <w:rsid w:val="00E93EC7"/>
    <w:rsid w:val="00EF3A5D"/>
    <w:rsid w:val="00F236B7"/>
    <w:rsid w:val="00F6395F"/>
    <w:rsid w:val="00F678B3"/>
    <w:rsid w:val="00F927DF"/>
    <w:rsid w:val="00FB143D"/>
    <w:rsid w:val="00FE2DB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B703CB"/>
  <w15:chartTrackingRefBased/>
  <w15:docId w15:val="{6A4895CD-B62A-459B-84AC-9AAC04A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5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256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565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HUNTCLIFF SCHOOL</vt:lpstr>
    </vt:vector>
  </TitlesOfParts>
  <Company>Research Machines plc.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HUNTCLIFF SCHOOL</dc:title>
  <dc:subject/>
  <dc:creator>liberata</dc:creator>
  <cp:keywords/>
  <cp:lastModifiedBy>K Emmerson</cp:lastModifiedBy>
  <cp:revision>2</cp:revision>
  <cp:lastPrinted>2008-02-28T14:34:00Z</cp:lastPrinted>
  <dcterms:created xsi:type="dcterms:W3CDTF">2019-10-07T08:16:00Z</dcterms:created>
  <dcterms:modified xsi:type="dcterms:W3CDTF">2019-10-07T08:16:00Z</dcterms:modified>
</cp:coreProperties>
</file>