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A1D3" w14:textId="070D22B0" w:rsidR="00D176F1" w:rsidRDefault="00D176F1">
      <w:pPr>
        <w:rPr>
          <w:rFonts w:cs="Arial"/>
        </w:rPr>
      </w:pPr>
      <w:bookmarkStart w:id="0" w:name="_GoBack"/>
      <w:bookmarkEnd w:id="0"/>
    </w:p>
    <w:p w14:paraId="70B0B5A6" w14:textId="77777777" w:rsidR="00D176F1" w:rsidRDefault="00D176F1" w:rsidP="00D176F1">
      <w:pPr>
        <w:rPr>
          <w:rFonts w:cs="Arial"/>
          <w:color w:val="FF0000"/>
        </w:rPr>
      </w:pPr>
    </w:p>
    <w:tbl>
      <w:tblPr>
        <w:tblpPr w:leftFromText="180" w:rightFromText="180" w:vertAnchor="text" w:horzAnchor="margin" w:tblpY="1154"/>
        <w:tblW w:w="9067" w:type="dxa"/>
        <w:tblLayout w:type="fixed"/>
        <w:tblLook w:val="01E0" w:firstRow="1" w:lastRow="1" w:firstColumn="1" w:lastColumn="1" w:noHBand="0" w:noVBand="0"/>
      </w:tblPr>
      <w:tblGrid>
        <w:gridCol w:w="828"/>
        <w:gridCol w:w="2880"/>
        <w:gridCol w:w="5359"/>
      </w:tblGrid>
      <w:tr w:rsidR="00D176F1" w:rsidRPr="00AE4BB7" w14:paraId="56A43296" w14:textId="77777777" w:rsidTr="00F03AF8">
        <w:tc>
          <w:tcPr>
            <w:tcW w:w="828" w:type="dxa"/>
            <w:tcBorders>
              <w:top w:val="single" w:sz="4" w:space="0" w:color="auto"/>
              <w:left w:val="single" w:sz="4" w:space="0" w:color="auto"/>
              <w:bottom w:val="single" w:sz="4" w:space="0" w:color="auto"/>
            </w:tcBorders>
          </w:tcPr>
          <w:p w14:paraId="46358842" w14:textId="77777777" w:rsidR="00D176F1" w:rsidRPr="00AE4BB7" w:rsidRDefault="00D176F1" w:rsidP="00D176F1">
            <w:pPr>
              <w:numPr>
                <w:ilvl w:val="0"/>
                <w:numId w:val="36"/>
              </w:numPr>
              <w:spacing w:before="100" w:beforeAutospacing="1"/>
              <w:rPr>
                <w:rFonts w:cs="Arial"/>
              </w:rPr>
            </w:pPr>
            <w:r w:rsidRPr="00AE4BB7">
              <w:rPr>
                <w:rFonts w:cs="Arial"/>
              </w:rPr>
              <w:tab/>
            </w:r>
            <w:r w:rsidRPr="00AE4BB7">
              <w:rPr>
                <w:rFonts w:cs="Arial"/>
              </w:rPr>
              <w:tab/>
            </w:r>
          </w:p>
        </w:tc>
        <w:tc>
          <w:tcPr>
            <w:tcW w:w="2880" w:type="dxa"/>
            <w:tcBorders>
              <w:top w:val="single" w:sz="4" w:space="0" w:color="auto"/>
              <w:bottom w:val="single" w:sz="4" w:space="0" w:color="auto"/>
            </w:tcBorders>
          </w:tcPr>
          <w:p w14:paraId="0EB915A2" w14:textId="77777777" w:rsidR="00D176F1" w:rsidRPr="00AE4BB7" w:rsidRDefault="00D176F1" w:rsidP="00F03AF8">
            <w:pPr>
              <w:spacing w:before="100" w:beforeAutospacing="1"/>
              <w:rPr>
                <w:rFonts w:cs="Arial"/>
              </w:rPr>
            </w:pPr>
            <w:r w:rsidRPr="00AE4BB7">
              <w:rPr>
                <w:rFonts w:cs="Arial"/>
                <w:b/>
                <w:bCs/>
              </w:rPr>
              <w:t>Post Title:</w:t>
            </w:r>
          </w:p>
        </w:tc>
        <w:tc>
          <w:tcPr>
            <w:tcW w:w="5359" w:type="dxa"/>
            <w:tcBorders>
              <w:top w:val="single" w:sz="4" w:space="0" w:color="auto"/>
              <w:bottom w:val="single" w:sz="4" w:space="0" w:color="auto"/>
              <w:right w:val="single" w:sz="4" w:space="0" w:color="auto"/>
            </w:tcBorders>
          </w:tcPr>
          <w:p w14:paraId="6D7FB088" w14:textId="77777777" w:rsidR="00D176F1" w:rsidRPr="00AE4BB7" w:rsidRDefault="00D176F1" w:rsidP="00F03AF8">
            <w:pPr>
              <w:spacing w:before="100" w:beforeAutospacing="1"/>
              <w:rPr>
                <w:rFonts w:cs="Arial"/>
              </w:rPr>
            </w:pPr>
            <w:r>
              <w:rPr>
                <w:rFonts w:cs="Arial"/>
                <w:b/>
                <w:bCs/>
              </w:rPr>
              <w:t>Tyne Tunnels Manager</w:t>
            </w:r>
          </w:p>
        </w:tc>
      </w:tr>
      <w:tr w:rsidR="00D176F1" w:rsidRPr="00AE4BB7" w14:paraId="6600B87E" w14:textId="77777777" w:rsidTr="00F03AF8">
        <w:tc>
          <w:tcPr>
            <w:tcW w:w="828" w:type="dxa"/>
            <w:tcBorders>
              <w:top w:val="single" w:sz="4" w:space="0" w:color="auto"/>
              <w:left w:val="single" w:sz="4" w:space="0" w:color="auto"/>
              <w:bottom w:val="single" w:sz="4" w:space="0" w:color="auto"/>
            </w:tcBorders>
          </w:tcPr>
          <w:p w14:paraId="743594F5" w14:textId="77777777" w:rsidR="00D176F1" w:rsidRPr="00AE4BB7" w:rsidRDefault="00D176F1" w:rsidP="00D176F1">
            <w:pPr>
              <w:numPr>
                <w:ilvl w:val="0"/>
                <w:numId w:val="36"/>
              </w:numPr>
              <w:spacing w:before="100" w:beforeAutospacing="1"/>
              <w:rPr>
                <w:rFonts w:cs="Arial"/>
                <w:b/>
                <w:bCs/>
              </w:rPr>
            </w:pPr>
            <w:r w:rsidRPr="00AE4BB7">
              <w:rPr>
                <w:rFonts w:cs="Arial"/>
                <w:b/>
                <w:bCs/>
              </w:rPr>
              <w:t>2.</w:t>
            </w:r>
          </w:p>
        </w:tc>
        <w:tc>
          <w:tcPr>
            <w:tcW w:w="2880" w:type="dxa"/>
            <w:tcBorders>
              <w:top w:val="single" w:sz="4" w:space="0" w:color="auto"/>
              <w:bottom w:val="single" w:sz="4" w:space="0" w:color="auto"/>
            </w:tcBorders>
          </w:tcPr>
          <w:p w14:paraId="46A06D7F" w14:textId="77777777" w:rsidR="00D176F1" w:rsidRPr="00AE4BB7" w:rsidRDefault="00D176F1" w:rsidP="00F03AF8">
            <w:pPr>
              <w:spacing w:before="100" w:beforeAutospacing="1"/>
              <w:rPr>
                <w:rFonts w:cs="Arial"/>
                <w:b/>
                <w:bCs/>
              </w:rPr>
            </w:pPr>
            <w:r w:rsidRPr="00AE4BB7">
              <w:rPr>
                <w:rFonts w:cs="Arial"/>
                <w:b/>
                <w:bCs/>
              </w:rPr>
              <w:t>Post Number:</w:t>
            </w:r>
            <w:r w:rsidRPr="00AE4BB7">
              <w:rPr>
                <w:rFonts w:cs="Arial"/>
                <w:b/>
                <w:bCs/>
              </w:rPr>
              <w:tab/>
            </w:r>
          </w:p>
        </w:tc>
        <w:tc>
          <w:tcPr>
            <w:tcW w:w="5359" w:type="dxa"/>
            <w:tcBorders>
              <w:top w:val="single" w:sz="4" w:space="0" w:color="auto"/>
              <w:bottom w:val="single" w:sz="4" w:space="0" w:color="auto"/>
              <w:right w:val="single" w:sz="4" w:space="0" w:color="auto"/>
            </w:tcBorders>
          </w:tcPr>
          <w:p w14:paraId="13956998" w14:textId="77777777" w:rsidR="00D176F1" w:rsidRPr="00AE4BB7" w:rsidRDefault="00D176F1" w:rsidP="00F03AF8">
            <w:pPr>
              <w:spacing w:before="100" w:beforeAutospacing="1"/>
              <w:rPr>
                <w:rFonts w:cs="Arial"/>
              </w:rPr>
            </w:pPr>
          </w:p>
        </w:tc>
      </w:tr>
      <w:tr w:rsidR="00D176F1" w:rsidRPr="00AE4BB7" w14:paraId="384DC428" w14:textId="77777777" w:rsidTr="00F03AF8">
        <w:tc>
          <w:tcPr>
            <w:tcW w:w="828" w:type="dxa"/>
            <w:tcBorders>
              <w:top w:val="single" w:sz="4" w:space="0" w:color="auto"/>
              <w:left w:val="single" w:sz="4" w:space="0" w:color="auto"/>
              <w:bottom w:val="single" w:sz="4" w:space="0" w:color="auto"/>
            </w:tcBorders>
          </w:tcPr>
          <w:p w14:paraId="44B2B687" w14:textId="77777777" w:rsidR="00D176F1" w:rsidRPr="00AE4BB7" w:rsidRDefault="00D176F1" w:rsidP="00D176F1">
            <w:pPr>
              <w:numPr>
                <w:ilvl w:val="0"/>
                <w:numId w:val="36"/>
              </w:numPr>
              <w:spacing w:before="100" w:beforeAutospacing="1"/>
              <w:rPr>
                <w:rFonts w:cs="Arial"/>
                <w:b/>
                <w:bCs/>
              </w:rPr>
            </w:pPr>
            <w:r w:rsidRPr="00AE4BB7">
              <w:rPr>
                <w:rFonts w:cs="Arial"/>
                <w:b/>
                <w:bCs/>
              </w:rPr>
              <w:t>3.</w:t>
            </w:r>
          </w:p>
        </w:tc>
        <w:tc>
          <w:tcPr>
            <w:tcW w:w="2880" w:type="dxa"/>
            <w:tcBorders>
              <w:top w:val="single" w:sz="4" w:space="0" w:color="auto"/>
              <w:bottom w:val="single" w:sz="4" w:space="0" w:color="auto"/>
            </w:tcBorders>
          </w:tcPr>
          <w:p w14:paraId="17114372" w14:textId="77777777" w:rsidR="00D176F1" w:rsidRPr="00AE4BB7" w:rsidRDefault="00D176F1" w:rsidP="00F03AF8">
            <w:pPr>
              <w:spacing w:before="100" w:beforeAutospacing="1"/>
              <w:rPr>
                <w:rFonts w:cs="Arial"/>
              </w:rPr>
            </w:pPr>
            <w:r w:rsidRPr="00AE4BB7">
              <w:rPr>
                <w:rFonts w:cs="Arial"/>
                <w:b/>
                <w:bCs/>
              </w:rPr>
              <w:t>Grade:</w:t>
            </w:r>
            <w:r w:rsidRPr="00AE4BB7">
              <w:rPr>
                <w:rFonts w:cs="Arial"/>
              </w:rPr>
              <w:tab/>
            </w:r>
            <w:r w:rsidRPr="00AE4BB7">
              <w:rPr>
                <w:rFonts w:cs="Arial"/>
              </w:rPr>
              <w:tab/>
            </w:r>
            <w:r w:rsidRPr="00AE4BB7">
              <w:rPr>
                <w:rFonts w:cs="Arial"/>
              </w:rPr>
              <w:tab/>
            </w:r>
          </w:p>
        </w:tc>
        <w:tc>
          <w:tcPr>
            <w:tcW w:w="5359" w:type="dxa"/>
            <w:tcBorders>
              <w:top w:val="single" w:sz="4" w:space="0" w:color="auto"/>
              <w:bottom w:val="single" w:sz="4" w:space="0" w:color="auto"/>
              <w:right w:val="single" w:sz="4" w:space="0" w:color="auto"/>
            </w:tcBorders>
          </w:tcPr>
          <w:p w14:paraId="0C551D32" w14:textId="77777777" w:rsidR="00D176F1" w:rsidRPr="00AE4BB7" w:rsidRDefault="00D176F1" w:rsidP="00F03AF8">
            <w:pPr>
              <w:spacing w:before="100" w:beforeAutospacing="1"/>
              <w:rPr>
                <w:rFonts w:cs="Arial"/>
              </w:rPr>
            </w:pPr>
            <w:r>
              <w:rPr>
                <w:rFonts w:cs="Arial"/>
              </w:rPr>
              <w:t>NECA Grade 14 [Salary £55,707]</w:t>
            </w:r>
            <w:r w:rsidRPr="00AE4BB7">
              <w:rPr>
                <w:rFonts w:cs="Arial"/>
              </w:rPr>
              <w:fldChar w:fldCharType="begin"/>
            </w:r>
            <w:r w:rsidRPr="00AE4BB7">
              <w:rPr>
                <w:rFonts w:cs="Arial"/>
              </w:rPr>
              <w:instrText xml:space="preserve">  </w:instrText>
            </w:r>
            <w:r w:rsidRPr="00AE4BB7">
              <w:rPr>
                <w:rFonts w:cs="Arial"/>
              </w:rPr>
              <w:fldChar w:fldCharType="end"/>
            </w:r>
          </w:p>
        </w:tc>
      </w:tr>
      <w:tr w:rsidR="00D176F1" w:rsidRPr="00AE4BB7" w14:paraId="2E2C8274" w14:textId="77777777" w:rsidTr="00F03AF8">
        <w:tc>
          <w:tcPr>
            <w:tcW w:w="828" w:type="dxa"/>
            <w:tcBorders>
              <w:top w:val="single" w:sz="4" w:space="0" w:color="auto"/>
              <w:left w:val="single" w:sz="4" w:space="0" w:color="auto"/>
              <w:bottom w:val="single" w:sz="4" w:space="0" w:color="auto"/>
            </w:tcBorders>
          </w:tcPr>
          <w:p w14:paraId="1A6B06D4" w14:textId="77777777" w:rsidR="00D176F1" w:rsidRPr="00AE4BB7" w:rsidRDefault="00D176F1" w:rsidP="00D176F1">
            <w:pPr>
              <w:numPr>
                <w:ilvl w:val="0"/>
                <w:numId w:val="36"/>
              </w:numPr>
              <w:spacing w:before="100" w:beforeAutospacing="1" w:after="100" w:afterAutospacing="1"/>
              <w:rPr>
                <w:rFonts w:cs="Arial"/>
                <w:b/>
                <w:bCs/>
              </w:rPr>
            </w:pPr>
          </w:p>
        </w:tc>
        <w:tc>
          <w:tcPr>
            <w:tcW w:w="2880" w:type="dxa"/>
            <w:tcBorders>
              <w:top w:val="single" w:sz="4" w:space="0" w:color="auto"/>
              <w:bottom w:val="single" w:sz="4" w:space="0" w:color="auto"/>
            </w:tcBorders>
          </w:tcPr>
          <w:p w14:paraId="16F1B3C2" w14:textId="77777777" w:rsidR="00D176F1" w:rsidRPr="00AE4BB7" w:rsidRDefault="00D176F1" w:rsidP="00F03AF8">
            <w:pPr>
              <w:spacing w:before="100" w:beforeAutospacing="1"/>
              <w:rPr>
                <w:rFonts w:cs="Arial"/>
              </w:rPr>
            </w:pPr>
            <w:r w:rsidRPr="00AE4BB7">
              <w:rPr>
                <w:rFonts w:cs="Arial"/>
                <w:b/>
                <w:bCs/>
              </w:rPr>
              <w:t>Location:</w:t>
            </w:r>
          </w:p>
        </w:tc>
        <w:tc>
          <w:tcPr>
            <w:tcW w:w="5359" w:type="dxa"/>
            <w:tcBorders>
              <w:top w:val="single" w:sz="4" w:space="0" w:color="auto"/>
              <w:bottom w:val="single" w:sz="4" w:space="0" w:color="auto"/>
              <w:right w:val="single" w:sz="4" w:space="0" w:color="auto"/>
            </w:tcBorders>
          </w:tcPr>
          <w:p w14:paraId="5189CA8E" w14:textId="77777777" w:rsidR="00D176F1" w:rsidRPr="00AE4BB7" w:rsidRDefault="00D176F1" w:rsidP="00F03AF8">
            <w:pPr>
              <w:spacing w:before="100" w:beforeAutospacing="1" w:after="120"/>
              <w:rPr>
                <w:rFonts w:cs="Arial"/>
              </w:rPr>
            </w:pPr>
            <w:r w:rsidRPr="00AE4BB7">
              <w:rPr>
                <w:rFonts w:cs="Arial"/>
              </w:rPr>
              <w:t xml:space="preserve">Your normal place of work will be </w:t>
            </w:r>
            <w:r w:rsidRPr="00AE4BB7">
              <w:rPr>
                <w:rFonts w:cs="Arial"/>
                <w:b/>
                <w:bCs/>
              </w:rPr>
              <w:t>Gateshead Civic Centre</w:t>
            </w:r>
            <w:r w:rsidRPr="00AE4BB7">
              <w:rPr>
                <w:rFonts w:cs="Arial"/>
              </w:rPr>
              <w:t>. However; you may be required to work at any council workplace across the area</w:t>
            </w:r>
            <w:r>
              <w:rPr>
                <w:rFonts w:cs="Arial"/>
              </w:rPr>
              <w:t xml:space="preserve"> of the North East Joint Transport Committee</w:t>
            </w:r>
            <w:r w:rsidRPr="00AE4BB7">
              <w:rPr>
                <w:rFonts w:cs="Arial"/>
              </w:rPr>
              <w:t>.</w:t>
            </w:r>
          </w:p>
        </w:tc>
      </w:tr>
    </w:tbl>
    <w:p w14:paraId="7C955FF3" w14:textId="3FFAC60C" w:rsidR="00D176F1" w:rsidRDefault="00D176F1" w:rsidP="00D176F1">
      <w:pPr>
        <w:rPr>
          <w:rFonts w:ascii="Tahoma" w:hAnsi="Tahoma" w:cs="Tahoma"/>
          <w:b/>
          <w:bCs/>
          <w:lang w:eastAsia="en-GB"/>
        </w:rPr>
      </w:pPr>
      <w:r>
        <w:rPr>
          <w:rFonts w:ascii="Tahoma" w:hAnsi="Tahoma" w:cs="Tahoma"/>
          <w:b/>
          <w:bCs/>
          <w:noProof/>
          <w:lang w:eastAsia="en-GB"/>
        </w:rPr>
        <w:drawing>
          <wp:inline distT="0" distB="0" distL="0" distR="0" wp14:anchorId="26162800" wp14:editId="31F28590">
            <wp:extent cx="1574800" cy="704850"/>
            <wp:effectExtent l="0" t="0" r="6350" b="0"/>
            <wp:docPr id="3" name="Picture 3" descr="Small NECA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NECA logo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704850"/>
                    </a:xfrm>
                    <a:prstGeom prst="rect">
                      <a:avLst/>
                    </a:prstGeom>
                    <a:noFill/>
                    <a:ln>
                      <a:noFill/>
                    </a:ln>
                  </pic:spPr>
                </pic:pic>
              </a:graphicData>
            </a:graphic>
          </wp:inline>
        </w:drawing>
      </w:r>
    </w:p>
    <w:p w14:paraId="098ED5E2" w14:textId="77777777" w:rsidR="00D176F1" w:rsidRPr="00AE4BB7" w:rsidRDefault="00D176F1" w:rsidP="00D176F1">
      <w:pPr>
        <w:rPr>
          <w:rFonts w:cs="Arial"/>
          <w:b/>
          <w:bCs/>
        </w:rPr>
      </w:pPr>
    </w:p>
    <w:p w14:paraId="47AFE218" w14:textId="77777777" w:rsidR="00D176F1" w:rsidRPr="00AE4BB7" w:rsidRDefault="00D176F1" w:rsidP="00D176F1">
      <w:pPr>
        <w:jc w:val="center"/>
        <w:rPr>
          <w:rFonts w:cs="Arial"/>
          <w:b/>
          <w:bCs/>
        </w:rPr>
      </w:pPr>
    </w:p>
    <w:p w14:paraId="418185E4" w14:textId="77777777" w:rsidR="00D176F1" w:rsidRDefault="00D176F1" w:rsidP="00D176F1">
      <w:pPr>
        <w:ind w:left="720" w:right="680"/>
        <w:rPr>
          <w:rFonts w:cs="Arial"/>
          <w:b/>
          <w:bCs/>
        </w:rPr>
      </w:pPr>
    </w:p>
    <w:p w14:paraId="2AF7795A" w14:textId="77777777" w:rsidR="00D176F1" w:rsidRDefault="00D176F1" w:rsidP="00D176F1">
      <w:pPr>
        <w:ind w:left="720" w:right="680"/>
        <w:rPr>
          <w:rFonts w:cs="Arial"/>
          <w:b/>
          <w:bCs/>
        </w:rPr>
      </w:pPr>
    </w:p>
    <w:p w14:paraId="72F74E74" w14:textId="77777777" w:rsidR="00D176F1" w:rsidRDefault="00D176F1" w:rsidP="00D176F1">
      <w:pPr>
        <w:ind w:left="720" w:right="680"/>
        <w:rPr>
          <w:rFonts w:cs="Arial"/>
          <w:b/>
          <w:bCs/>
        </w:rPr>
      </w:pPr>
    </w:p>
    <w:p w14:paraId="1489B367" w14:textId="77777777" w:rsidR="00D176F1" w:rsidRDefault="00D176F1" w:rsidP="00D176F1">
      <w:pPr>
        <w:ind w:left="720" w:right="680"/>
        <w:rPr>
          <w:rFonts w:cs="Arial"/>
          <w:b/>
          <w:bCs/>
        </w:rPr>
      </w:pPr>
    </w:p>
    <w:p w14:paraId="01B42241" w14:textId="77777777" w:rsidR="00D176F1" w:rsidRDefault="00D176F1" w:rsidP="00D176F1">
      <w:pPr>
        <w:ind w:left="720" w:right="680"/>
        <w:rPr>
          <w:rFonts w:cs="Arial"/>
          <w:b/>
          <w:bCs/>
        </w:rPr>
      </w:pPr>
    </w:p>
    <w:p w14:paraId="7692D50D" w14:textId="77777777" w:rsidR="00D176F1" w:rsidRDefault="00D176F1" w:rsidP="00D176F1">
      <w:pPr>
        <w:ind w:left="720" w:right="680"/>
        <w:rPr>
          <w:rFonts w:cs="Arial"/>
          <w:b/>
          <w:bCs/>
        </w:rPr>
      </w:pPr>
    </w:p>
    <w:p w14:paraId="7A0451D3" w14:textId="77777777" w:rsidR="00D176F1" w:rsidRDefault="00D176F1" w:rsidP="00D176F1">
      <w:pPr>
        <w:ind w:left="720" w:right="680"/>
        <w:rPr>
          <w:rFonts w:cs="Arial"/>
          <w:b/>
          <w:bCs/>
        </w:rPr>
      </w:pPr>
    </w:p>
    <w:p w14:paraId="12C41766" w14:textId="77777777" w:rsidR="00D176F1" w:rsidRDefault="00D176F1" w:rsidP="00D176F1">
      <w:pPr>
        <w:ind w:left="720" w:right="680"/>
        <w:rPr>
          <w:rFonts w:cs="Arial"/>
          <w:b/>
          <w:bCs/>
        </w:rPr>
      </w:pPr>
    </w:p>
    <w:p w14:paraId="07C24E65" w14:textId="77777777" w:rsidR="00D176F1" w:rsidRDefault="00D176F1" w:rsidP="00D176F1">
      <w:pPr>
        <w:ind w:left="720" w:right="680"/>
        <w:rPr>
          <w:rFonts w:cs="Arial"/>
          <w:b/>
          <w:bCs/>
        </w:rPr>
      </w:pPr>
    </w:p>
    <w:p w14:paraId="44461DDB" w14:textId="77777777" w:rsidR="00D176F1" w:rsidRDefault="00D176F1" w:rsidP="00D176F1">
      <w:pPr>
        <w:ind w:left="720" w:right="680"/>
        <w:rPr>
          <w:rFonts w:cs="Arial"/>
          <w:b/>
          <w:bCs/>
        </w:rPr>
      </w:pPr>
    </w:p>
    <w:p w14:paraId="20FA4722" w14:textId="77777777" w:rsidR="00D176F1" w:rsidRPr="00AE4BB7" w:rsidRDefault="00D176F1" w:rsidP="00D176F1">
      <w:pPr>
        <w:ind w:left="720" w:right="680"/>
        <w:rPr>
          <w:rFonts w:cs="Arial"/>
          <w:b/>
          <w:bCs/>
        </w:rPr>
      </w:pPr>
      <w:r w:rsidRPr="00AE4BB7">
        <w:rPr>
          <w:rFonts w:cs="Arial"/>
          <w:b/>
          <w:bCs/>
        </w:rPr>
        <w:t>Relevant to this Post:</w:t>
      </w:r>
    </w:p>
    <w:p w14:paraId="3C87ABE2" w14:textId="77777777" w:rsidR="00D176F1" w:rsidRPr="00AE4BB7" w:rsidRDefault="00D176F1" w:rsidP="00D176F1">
      <w:pPr>
        <w:ind w:right="680"/>
        <w:rPr>
          <w:rFonts w:cs="Arial"/>
        </w:rPr>
      </w:pPr>
    </w:p>
    <w:p w14:paraId="3BD9D059" w14:textId="77777777" w:rsidR="00D176F1" w:rsidRPr="00AE4BB7" w:rsidRDefault="00D176F1" w:rsidP="00D176F1">
      <w:pPr>
        <w:ind w:left="720" w:right="680"/>
        <w:rPr>
          <w:rFonts w:cs="Arial"/>
        </w:rPr>
      </w:pPr>
      <w:r w:rsidRPr="00AE4BB7">
        <w:rPr>
          <w:rFonts w:cs="Arial"/>
          <w:b/>
          <w:bCs/>
        </w:rPr>
        <w:t>Car User Status</w:t>
      </w:r>
      <w:r w:rsidRPr="00AE4BB7">
        <w:rPr>
          <w:rFonts w:cs="Arial"/>
        </w:rPr>
        <w:t>:</w:t>
      </w:r>
      <w:r w:rsidRPr="00AE4BB7">
        <w:rPr>
          <w:rFonts w:cs="Arial"/>
        </w:rPr>
        <w:tab/>
      </w:r>
      <w:r w:rsidRPr="00AE4BB7">
        <w:rPr>
          <w:rFonts w:cs="Arial"/>
        </w:rPr>
        <w:tab/>
        <w:t>Casual car user allowance</w:t>
      </w:r>
    </w:p>
    <w:p w14:paraId="2E1AB89B" w14:textId="77777777" w:rsidR="00D176F1" w:rsidRPr="00AE4BB7" w:rsidRDefault="00D176F1" w:rsidP="00D176F1">
      <w:pPr>
        <w:ind w:left="720" w:right="680"/>
        <w:rPr>
          <w:rFonts w:cs="Arial"/>
        </w:rPr>
      </w:pPr>
    </w:p>
    <w:p w14:paraId="5228D6B8" w14:textId="77777777" w:rsidR="00D176F1" w:rsidRPr="005C2202" w:rsidRDefault="00D176F1" w:rsidP="00D176F1">
      <w:pPr>
        <w:ind w:left="3600" w:right="680" w:hanging="2880"/>
        <w:rPr>
          <w:rFonts w:cs="Arial"/>
        </w:rPr>
      </w:pPr>
      <w:r w:rsidRPr="00AE4BB7">
        <w:rPr>
          <w:rFonts w:cs="Arial"/>
          <w:b/>
          <w:bCs/>
        </w:rPr>
        <w:t>Flexible Working:</w:t>
      </w:r>
      <w:r w:rsidRPr="00AE4BB7">
        <w:rPr>
          <w:rFonts w:cs="Arial"/>
        </w:rPr>
        <w:tab/>
        <w:t xml:space="preserve">Subject to service needs flexible working is applicable to </w:t>
      </w:r>
      <w:r w:rsidRPr="005C2202">
        <w:rPr>
          <w:rFonts w:cs="Arial"/>
        </w:rPr>
        <w:t>this post</w:t>
      </w:r>
    </w:p>
    <w:p w14:paraId="03C22478" w14:textId="77777777" w:rsidR="00D176F1" w:rsidRPr="005C2202" w:rsidRDefault="00D176F1" w:rsidP="00D176F1">
      <w:pPr>
        <w:ind w:left="3600" w:right="680" w:hanging="2880"/>
        <w:rPr>
          <w:rFonts w:cs="Arial"/>
        </w:rPr>
      </w:pPr>
    </w:p>
    <w:p w14:paraId="49FDB7FB" w14:textId="77777777" w:rsidR="00D176F1" w:rsidRPr="005C2202" w:rsidRDefault="00D176F1" w:rsidP="00D176F1">
      <w:pPr>
        <w:ind w:left="3600" w:right="680" w:hanging="2880"/>
        <w:rPr>
          <w:rFonts w:cs="Arial"/>
        </w:rPr>
      </w:pPr>
      <w:r w:rsidRPr="005C2202">
        <w:rPr>
          <w:rFonts w:cs="Arial"/>
          <w:b/>
          <w:bCs/>
        </w:rPr>
        <w:t>DBS:</w:t>
      </w:r>
      <w:r w:rsidRPr="005C2202">
        <w:rPr>
          <w:rFonts w:cs="Arial"/>
          <w:b/>
          <w:bCs/>
        </w:rPr>
        <w:tab/>
      </w:r>
      <w:r w:rsidRPr="005C2202">
        <w:rPr>
          <w:rFonts w:cs="Arial"/>
        </w:rPr>
        <w:t>This post is subject to standard Disclosure and Barring Service disclosure</w:t>
      </w:r>
    </w:p>
    <w:p w14:paraId="2587EE5A" w14:textId="77777777" w:rsidR="00D176F1" w:rsidRPr="005C2202" w:rsidRDefault="00D176F1" w:rsidP="00D176F1">
      <w:pPr>
        <w:ind w:left="720" w:right="680"/>
        <w:rPr>
          <w:rFonts w:cs="Arial"/>
        </w:rPr>
      </w:pPr>
    </w:p>
    <w:p w14:paraId="6ACFC830" w14:textId="77777777" w:rsidR="00D176F1" w:rsidRPr="005C2202" w:rsidRDefault="00D176F1" w:rsidP="00D176F1">
      <w:pPr>
        <w:ind w:left="3600" w:right="680" w:hanging="2880"/>
        <w:rPr>
          <w:rFonts w:cs="Arial"/>
        </w:rPr>
      </w:pPr>
      <w:r w:rsidRPr="005C2202">
        <w:rPr>
          <w:rFonts w:cs="Arial"/>
          <w:b/>
          <w:bCs/>
        </w:rPr>
        <w:t>Politically Restricted:</w:t>
      </w:r>
      <w:r w:rsidRPr="005C2202">
        <w:rPr>
          <w:rFonts w:cs="Arial"/>
        </w:rPr>
        <w:tab/>
        <w:t>The North East Combined Authority has designated this as a politically restricted post in accordance with the requirements of Section 1(5) of the Local Government and Housing Act 1989 and by regulations made from time to time by the Secretary of State.</w:t>
      </w:r>
    </w:p>
    <w:p w14:paraId="403FBCF1" w14:textId="77777777" w:rsidR="00D176F1" w:rsidRPr="005C2202" w:rsidRDefault="00D176F1" w:rsidP="00D176F1">
      <w:pPr>
        <w:ind w:left="3600" w:right="680" w:hanging="2880"/>
        <w:rPr>
          <w:rFonts w:cs="Arial"/>
          <w:b/>
          <w:bCs/>
        </w:rPr>
      </w:pPr>
    </w:p>
    <w:p w14:paraId="68404BC8" w14:textId="77777777" w:rsidR="00D176F1" w:rsidRPr="00AE4BB7" w:rsidRDefault="00D176F1" w:rsidP="00D176F1">
      <w:pPr>
        <w:ind w:left="3600" w:right="680" w:hanging="2880"/>
        <w:rPr>
          <w:rFonts w:cs="Arial"/>
        </w:rPr>
      </w:pPr>
      <w:r w:rsidRPr="005C2202">
        <w:rPr>
          <w:rFonts w:cs="Arial"/>
          <w:b/>
          <w:bCs/>
        </w:rPr>
        <w:t>Out of hours working:</w:t>
      </w:r>
      <w:r w:rsidRPr="005C2202">
        <w:rPr>
          <w:rFonts w:cs="Arial"/>
          <w:b/>
          <w:bCs/>
        </w:rPr>
        <w:tab/>
      </w:r>
      <w:r w:rsidRPr="005C2202">
        <w:rPr>
          <w:rFonts w:cs="Arial"/>
        </w:rPr>
        <w:t>The</w:t>
      </w:r>
      <w:r w:rsidRPr="00E45D02">
        <w:rPr>
          <w:rFonts w:cs="Arial"/>
        </w:rPr>
        <w:t xml:space="preserve"> post holder may be required to work outside of normal office hours.</w:t>
      </w:r>
    </w:p>
    <w:p w14:paraId="05A81685" w14:textId="77777777" w:rsidR="00D176F1" w:rsidRPr="00AE4BB7" w:rsidRDefault="00D176F1" w:rsidP="00D176F1">
      <w:pPr>
        <w:ind w:right="680"/>
        <w:rPr>
          <w:rFonts w:cs="Arial"/>
        </w:rPr>
      </w:pPr>
      <w:r w:rsidRPr="00AE4BB7">
        <w:rPr>
          <w:rFonts w:cs="Arial"/>
        </w:rPr>
        <w:fldChar w:fldCharType="begin"/>
      </w:r>
      <w:r w:rsidRPr="00AE4BB7">
        <w:rPr>
          <w:rFonts w:cs="Arial"/>
        </w:rPr>
        <w:instrText xml:space="preserve">  </w:instrText>
      </w:r>
      <w:r w:rsidRPr="00AE4BB7">
        <w:rPr>
          <w:rFonts w:cs="Arial"/>
        </w:rPr>
        <w:fldChar w:fldCharType="end"/>
      </w:r>
      <w:r w:rsidRPr="00AE4BB7">
        <w:rPr>
          <w:rFonts w:cs="Arial"/>
          <w:b/>
          <w:bCs/>
        </w:rPr>
        <w:tab/>
      </w:r>
    </w:p>
    <w:p w14:paraId="1C749E25" w14:textId="77777777" w:rsidR="00D176F1" w:rsidRPr="00AE4BB7" w:rsidRDefault="00D176F1" w:rsidP="00D176F1">
      <w:pPr>
        <w:numPr>
          <w:ilvl w:val="0"/>
          <w:numId w:val="36"/>
        </w:numPr>
        <w:ind w:right="680"/>
        <w:rPr>
          <w:rFonts w:cs="Arial"/>
        </w:rPr>
      </w:pPr>
      <w:r w:rsidRPr="00AE4BB7">
        <w:rPr>
          <w:rFonts w:cs="Arial"/>
          <w:b/>
          <w:bCs/>
        </w:rPr>
        <w:t>Organisational Relationships:</w:t>
      </w:r>
    </w:p>
    <w:p w14:paraId="40E3C343" w14:textId="77777777" w:rsidR="00D176F1" w:rsidRPr="00AE4BB7" w:rsidRDefault="00D176F1" w:rsidP="00D176F1">
      <w:pPr>
        <w:ind w:left="720" w:right="680" w:hanging="720"/>
        <w:rPr>
          <w:rFonts w:cs="Arial"/>
        </w:rPr>
      </w:pPr>
    </w:p>
    <w:p w14:paraId="667984A8" w14:textId="77777777" w:rsidR="00957635" w:rsidRDefault="00D176F1" w:rsidP="00D176F1">
      <w:pPr>
        <w:ind w:left="720" w:right="680"/>
        <w:rPr>
          <w:rFonts w:cs="Arial"/>
        </w:rPr>
      </w:pPr>
      <w:r w:rsidRPr="00AE4BB7">
        <w:rPr>
          <w:rFonts w:cs="Arial"/>
        </w:rPr>
        <w:t xml:space="preserve">The post holder will be accountable to the </w:t>
      </w:r>
      <w:r>
        <w:rPr>
          <w:rFonts w:cs="Arial"/>
        </w:rPr>
        <w:t>Managing Director, Transport North East.</w:t>
      </w:r>
      <w:r w:rsidR="00957635">
        <w:rPr>
          <w:rFonts w:cs="Arial"/>
        </w:rPr>
        <w:t xml:space="preserve">  </w:t>
      </w:r>
    </w:p>
    <w:p w14:paraId="49FA926B" w14:textId="77777777" w:rsidR="00957635" w:rsidRDefault="00957635" w:rsidP="00D176F1">
      <w:pPr>
        <w:ind w:left="720" w:right="680"/>
        <w:rPr>
          <w:rFonts w:cs="Arial"/>
        </w:rPr>
      </w:pPr>
    </w:p>
    <w:p w14:paraId="7CC6C8AA" w14:textId="3018009C" w:rsidR="00D176F1" w:rsidRPr="00AE4BB7" w:rsidRDefault="00957635" w:rsidP="00D176F1">
      <w:pPr>
        <w:ind w:left="720" w:right="680"/>
        <w:rPr>
          <w:rFonts w:cs="Arial"/>
        </w:rPr>
      </w:pPr>
      <w:r>
        <w:rPr>
          <w:rFonts w:cs="Arial"/>
        </w:rPr>
        <w:t xml:space="preserve">The post holder will work on behalf of the North East Joint Transport Committee (JTC) but will be an employee of the </w:t>
      </w:r>
      <w:r w:rsidRPr="005C2202">
        <w:rPr>
          <w:rFonts w:cs="Arial"/>
        </w:rPr>
        <w:t>North East Combined Authority</w:t>
      </w:r>
      <w:r>
        <w:rPr>
          <w:rFonts w:cs="Arial"/>
        </w:rPr>
        <w:t xml:space="preserve"> (NECA) in its role as the accountable body for the JTC.</w:t>
      </w:r>
    </w:p>
    <w:p w14:paraId="710D0E1A" w14:textId="77777777" w:rsidR="00D176F1" w:rsidRPr="00AE4BB7" w:rsidRDefault="00D176F1" w:rsidP="00D176F1">
      <w:pPr>
        <w:ind w:left="720" w:right="680"/>
        <w:rPr>
          <w:rFonts w:cs="Arial"/>
          <w:b/>
          <w:bCs/>
        </w:rPr>
      </w:pPr>
    </w:p>
    <w:p w14:paraId="23DC30EC" w14:textId="77777777" w:rsidR="00957635" w:rsidRDefault="00957635" w:rsidP="00D176F1">
      <w:pPr>
        <w:ind w:left="720" w:right="680"/>
        <w:rPr>
          <w:rFonts w:cs="Arial"/>
          <w:b/>
          <w:bCs/>
        </w:rPr>
      </w:pPr>
    </w:p>
    <w:p w14:paraId="1CE2EE76" w14:textId="77777777" w:rsidR="00D176F1" w:rsidRPr="00AE4BB7" w:rsidRDefault="00D176F1" w:rsidP="00D176F1">
      <w:pPr>
        <w:ind w:left="720" w:right="680"/>
        <w:rPr>
          <w:rFonts w:cs="Arial"/>
          <w:b/>
          <w:bCs/>
        </w:rPr>
      </w:pPr>
      <w:r w:rsidRPr="00AE4BB7">
        <w:rPr>
          <w:rFonts w:cs="Arial"/>
          <w:b/>
          <w:bCs/>
        </w:rPr>
        <w:t>Description of Role:</w:t>
      </w:r>
    </w:p>
    <w:p w14:paraId="48E2F7D0" w14:textId="77777777" w:rsidR="00D176F1" w:rsidRPr="00AE4BB7" w:rsidRDefault="00D176F1" w:rsidP="00D176F1">
      <w:pPr>
        <w:ind w:left="720" w:right="680"/>
        <w:rPr>
          <w:rFonts w:cs="Arial"/>
          <w:b/>
          <w:bCs/>
        </w:rPr>
      </w:pPr>
    </w:p>
    <w:p w14:paraId="4649C353" w14:textId="77777777" w:rsidR="00D176F1" w:rsidRDefault="00D176F1" w:rsidP="00D176F1">
      <w:pPr>
        <w:spacing w:line="320" w:lineRule="exact"/>
        <w:ind w:left="720" w:right="680"/>
        <w:rPr>
          <w:rFonts w:cs="Arial"/>
        </w:rPr>
      </w:pPr>
      <w:r w:rsidRPr="00AE4BB7">
        <w:rPr>
          <w:rFonts w:cs="Arial"/>
        </w:rPr>
        <w:t xml:space="preserve">The post holder will be </w:t>
      </w:r>
      <w:r w:rsidRPr="006A3008">
        <w:rPr>
          <w:rFonts w:cs="Arial"/>
        </w:rPr>
        <w:t>will be required to work independently, use their initiative and have a high degree of commercial awareness</w:t>
      </w:r>
      <w:r>
        <w:rPr>
          <w:rFonts w:cs="Arial"/>
        </w:rPr>
        <w:t xml:space="preserve">. </w:t>
      </w:r>
    </w:p>
    <w:p w14:paraId="16D71C0D" w14:textId="77777777" w:rsidR="00D176F1" w:rsidRDefault="00D176F1" w:rsidP="00D176F1">
      <w:pPr>
        <w:spacing w:line="320" w:lineRule="exact"/>
        <w:ind w:left="720" w:right="680"/>
        <w:rPr>
          <w:rFonts w:cs="Arial"/>
        </w:rPr>
      </w:pPr>
    </w:p>
    <w:p w14:paraId="19D4A32E" w14:textId="12CE0145" w:rsidR="00D176F1" w:rsidRPr="00DC6B4A" w:rsidRDefault="00D176F1" w:rsidP="00D176F1">
      <w:pPr>
        <w:spacing w:line="320" w:lineRule="exact"/>
        <w:ind w:left="720" w:right="680"/>
        <w:rPr>
          <w:rFonts w:cs="Arial"/>
        </w:rPr>
      </w:pPr>
      <w:r>
        <w:rPr>
          <w:rFonts w:cs="Arial"/>
        </w:rPr>
        <w:lastRenderedPageBreak/>
        <w:t xml:space="preserve">The post holder will </w:t>
      </w:r>
      <w:r w:rsidRPr="00DC6B4A">
        <w:rPr>
          <w:rFonts w:cs="Arial"/>
        </w:rPr>
        <w:t xml:space="preserve">act as the lead client (‘NECA representative’) on behalf of the </w:t>
      </w:r>
      <w:r>
        <w:rPr>
          <w:rFonts w:cs="Arial"/>
        </w:rPr>
        <w:t>two Combined Authorities</w:t>
      </w:r>
      <w:r w:rsidRPr="00DC6B4A">
        <w:rPr>
          <w:rFonts w:cs="Arial"/>
        </w:rPr>
        <w:t xml:space="preserve"> </w:t>
      </w:r>
      <w:r w:rsidR="00957635">
        <w:rPr>
          <w:rFonts w:cs="Arial"/>
        </w:rPr>
        <w:t xml:space="preserve">(North East Combined Authority and North of Tyne Combined Authority) </w:t>
      </w:r>
      <w:r w:rsidRPr="00DC6B4A">
        <w:rPr>
          <w:rFonts w:cs="Arial"/>
        </w:rPr>
        <w:t>in respect of the Tyne Tunnels Project Agreement and all matters related to the operation of the Tyne road, cycling and pedestrian tunnels, ensuring that contractual obligations are met by both parties.</w:t>
      </w:r>
    </w:p>
    <w:p w14:paraId="0D84E9B7" w14:textId="77777777" w:rsidR="00D176F1" w:rsidRDefault="00D176F1" w:rsidP="00D176F1">
      <w:pPr>
        <w:spacing w:line="320" w:lineRule="exact"/>
        <w:ind w:left="720" w:right="680"/>
        <w:rPr>
          <w:rFonts w:cs="Arial"/>
        </w:rPr>
      </w:pPr>
    </w:p>
    <w:p w14:paraId="0FE61605" w14:textId="6C3B30EF" w:rsidR="00957635" w:rsidRDefault="00957635" w:rsidP="00957635">
      <w:pPr>
        <w:spacing w:line="320" w:lineRule="exact"/>
        <w:ind w:left="720" w:right="680"/>
        <w:rPr>
          <w:rFonts w:cs="Arial"/>
        </w:rPr>
      </w:pPr>
      <w:r>
        <w:rPr>
          <w:rFonts w:cs="Arial"/>
        </w:rPr>
        <w:t xml:space="preserve">This will require the post-holder to attend and present to relevant meetings of the Joint Transport Committee (JTC) which represents the joint interests of the two Combined Authorities, the JTC Tyne and Wear Sub-Committee (TWSC), Audit Committee(s) and Overview and Scrutiny Committee(s).  </w:t>
      </w:r>
    </w:p>
    <w:p w14:paraId="75C447B4" w14:textId="77777777" w:rsidR="00957635" w:rsidRPr="00DC6B4A" w:rsidRDefault="00957635" w:rsidP="00D176F1">
      <w:pPr>
        <w:spacing w:line="320" w:lineRule="exact"/>
        <w:ind w:left="720" w:right="680"/>
        <w:rPr>
          <w:rFonts w:cs="Arial"/>
        </w:rPr>
      </w:pPr>
    </w:p>
    <w:p w14:paraId="3F06C854" w14:textId="77777777" w:rsidR="00D176F1" w:rsidRPr="00DC6B4A" w:rsidRDefault="00D176F1" w:rsidP="00D176F1">
      <w:pPr>
        <w:spacing w:line="320" w:lineRule="exact"/>
        <w:ind w:left="720" w:right="680"/>
        <w:rPr>
          <w:rFonts w:cs="Arial"/>
        </w:rPr>
      </w:pPr>
      <w:r w:rsidRPr="00DC6B4A">
        <w:rPr>
          <w:rFonts w:cs="Arial"/>
        </w:rPr>
        <w:t>T</w:t>
      </w:r>
      <w:r>
        <w:rPr>
          <w:rFonts w:cs="Arial"/>
        </w:rPr>
        <w:t>he post holder will</w:t>
      </w:r>
      <w:r w:rsidRPr="00DC6B4A">
        <w:rPr>
          <w:rFonts w:cs="Arial"/>
        </w:rPr>
        <w:t xml:space="preserve"> work with the Tyne Tunnels Concessionaire towards continuous improvements for the users of the Tyne Tunnels, whilst ensuring that the Tunnels contribute towards the achievement of the region’s</w:t>
      </w:r>
      <w:r>
        <w:rPr>
          <w:rFonts w:cs="Arial"/>
        </w:rPr>
        <w:t xml:space="preserve"> transport strategies and goals, and</w:t>
      </w:r>
      <w:r w:rsidRPr="00DC6B4A">
        <w:rPr>
          <w:rFonts w:cs="Arial"/>
        </w:rPr>
        <w:t xml:space="preserve"> ensure that the Tyne Tunnels are maintained and operated in such a way that the value of the asset is maintained and enhanced over the longer term.</w:t>
      </w:r>
    </w:p>
    <w:p w14:paraId="024016DC" w14:textId="77777777" w:rsidR="00D176F1" w:rsidRPr="00AE4BB7" w:rsidRDefault="00D176F1" w:rsidP="00D176F1">
      <w:pPr>
        <w:spacing w:line="320" w:lineRule="exact"/>
        <w:ind w:left="720" w:right="680"/>
        <w:rPr>
          <w:rFonts w:cs="Arial"/>
        </w:rPr>
      </w:pPr>
    </w:p>
    <w:p w14:paraId="6FB9AF50" w14:textId="77777777" w:rsidR="00D176F1" w:rsidRPr="00AE4BB7" w:rsidRDefault="00D176F1" w:rsidP="00D176F1">
      <w:pPr>
        <w:ind w:left="720"/>
        <w:rPr>
          <w:rFonts w:cs="Arial"/>
          <w:b/>
          <w:bCs/>
        </w:rPr>
      </w:pPr>
    </w:p>
    <w:p w14:paraId="41879583" w14:textId="77777777" w:rsidR="00D176F1" w:rsidRPr="00AE4BB7" w:rsidRDefault="00D176F1" w:rsidP="00D176F1">
      <w:pPr>
        <w:numPr>
          <w:ilvl w:val="0"/>
          <w:numId w:val="36"/>
        </w:numPr>
        <w:ind w:right="680"/>
        <w:rPr>
          <w:rFonts w:cs="Arial"/>
        </w:rPr>
      </w:pPr>
      <w:r w:rsidRPr="00AE4BB7">
        <w:rPr>
          <w:rFonts w:cs="Arial"/>
          <w:b/>
          <w:bCs/>
        </w:rPr>
        <w:t>Duties and Responsibilities Specific to this Post:</w:t>
      </w:r>
    </w:p>
    <w:p w14:paraId="097FA054" w14:textId="77777777" w:rsidR="00D176F1" w:rsidRPr="00AE4BB7" w:rsidRDefault="00D176F1" w:rsidP="00D176F1">
      <w:pPr>
        <w:ind w:right="680"/>
        <w:rPr>
          <w:rFonts w:cs="Arial"/>
        </w:rPr>
      </w:pPr>
    </w:p>
    <w:p w14:paraId="003672E9" w14:textId="77777777" w:rsidR="00D176F1" w:rsidRPr="00AE4BB7" w:rsidRDefault="00D176F1" w:rsidP="00D176F1">
      <w:pPr>
        <w:ind w:left="720" w:right="680"/>
        <w:rPr>
          <w:rFonts w:cs="Arial"/>
        </w:rPr>
      </w:pPr>
      <w:r w:rsidRPr="00AE4BB7">
        <w:rPr>
          <w:rFonts w:cs="Arial"/>
        </w:rPr>
        <w:t>Listed below are the responsibilities this role will be primarily responsible for:</w:t>
      </w:r>
    </w:p>
    <w:p w14:paraId="43E3178E" w14:textId="77777777" w:rsidR="00D176F1" w:rsidRPr="00321639" w:rsidRDefault="00D176F1" w:rsidP="00D176F1">
      <w:pPr>
        <w:spacing w:after="120"/>
        <w:ind w:right="680"/>
        <w:rPr>
          <w:rFonts w:cs="Arial"/>
        </w:rPr>
      </w:pPr>
    </w:p>
    <w:p w14:paraId="7A0B844A" w14:textId="77777777" w:rsidR="00D176F1" w:rsidRDefault="00D176F1" w:rsidP="00D176F1">
      <w:pPr>
        <w:numPr>
          <w:ilvl w:val="0"/>
          <w:numId w:val="37"/>
        </w:numPr>
        <w:spacing w:after="120"/>
        <w:ind w:right="680"/>
        <w:rPr>
          <w:rFonts w:cs="Arial"/>
        </w:rPr>
      </w:pPr>
      <w:r>
        <w:rPr>
          <w:rFonts w:cs="Arial"/>
        </w:rPr>
        <w:t>To m</w:t>
      </w:r>
      <w:r w:rsidRPr="00321639">
        <w:rPr>
          <w:rFonts w:cs="Arial"/>
        </w:rPr>
        <w:t xml:space="preserve">aintain ongoing relations with the Tyne Tunnels Concessionaire, both formal and informal, to facilitate smooth and timely discharge of contractual commitments by both parties.  </w:t>
      </w:r>
    </w:p>
    <w:p w14:paraId="26DF1414" w14:textId="448FAB26" w:rsidR="00D176F1" w:rsidRDefault="00D176F1" w:rsidP="00D176F1">
      <w:pPr>
        <w:numPr>
          <w:ilvl w:val="0"/>
          <w:numId w:val="37"/>
        </w:numPr>
        <w:spacing w:after="120"/>
        <w:ind w:right="680"/>
        <w:rPr>
          <w:rFonts w:cs="Arial"/>
        </w:rPr>
      </w:pPr>
      <w:r>
        <w:rPr>
          <w:rFonts w:cs="Arial"/>
        </w:rPr>
        <w:t>To s</w:t>
      </w:r>
      <w:r w:rsidRPr="00321639">
        <w:rPr>
          <w:rFonts w:cs="Arial"/>
        </w:rPr>
        <w:t>chedule regular contract ‘liaison’ meetings between the client side (relevant officers</w:t>
      </w:r>
      <w:r w:rsidR="00957635">
        <w:rPr>
          <w:rFonts w:cs="Arial"/>
        </w:rPr>
        <w:t xml:space="preserve"> representing the JTC</w:t>
      </w:r>
      <w:r w:rsidRPr="00321639">
        <w:rPr>
          <w:rFonts w:cs="Arial"/>
        </w:rPr>
        <w:t>) and the contractor side (relevant representatives of TT2 Ltd) to review performance and to discuss and facilitate the resolution of contractual issues.</w:t>
      </w:r>
    </w:p>
    <w:p w14:paraId="57120D38" w14:textId="7F12A9A5" w:rsidR="00D176F1" w:rsidRDefault="00D176F1" w:rsidP="00D176F1">
      <w:pPr>
        <w:numPr>
          <w:ilvl w:val="0"/>
          <w:numId w:val="37"/>
        </w:numPr>
        <w:spacing w:after="120"/>
        <w:ind w:right="680"/>
        <w:rPr>
          <w:rFonts w:cs="Arial"/>
        </w:rPr>
      </w:pPr>
      <w:r>
        <w:rPr>
          <w:rFonts w:cs="Arial"/>
        </w:rPr>
        <w:t>To e</w:t>
      </w:r>
      <w:r w:rsidRPr="00321639">
        <w:rPr>
          <w:rFonts w:cs="Arial"/>
        </w:rPr>
        <w:t xml:space="preserve">nsure compliance by the Tyne Tunnels Concessionaire with Health &amp; Safety requirements as set </w:t>
      </w:r>
      <w:r>
        <w:rPr>
          <w:rFonts w:cs="Arial"/>
        </w:rPr>
        <w:t>out in contractual arrangements, and to</w:t>
      </w:r>
      <w:r w:rsidRPr="00321639">
        <w:rPr>
          <w:rFonts w:cs="Arial"/>
        </w:rPr>
        <w:t xml:space="preserve"> act as t</w:t>
      </w:r>
      <w:r w:rsidR="00957635">
        <w:rPr>
          <w:rFonts w:cs="Arial"/>
        </w:rPr>
        <w:t>he designated contact point in the JTC</w:t>
      </w:r>
      <w:r w:rsidRPr="00321639">
        <w:rPr>
          <w:rFonts w:cs="Arial"/>
        </w:rPr>
        <w:t xml:space="preserve"> where exceptional circumstances where an unforeseen emergency situation requires the Concessionaire to seek an urgent modification to the contract or relief from contractual provisions, seeking advice from </w:t>
      </w:r>
      <w:r w:rsidR="00957635">
        <w:rPr>
          <w:rFonts w:cs="Arial"/>
        </w:rPr>
        <w:t>the JTC’s</w:t>
      </w:r>
      <w:r w:rsidRPr="00321639">
        <w:rPr>
          <w:rFonts w:cs="Arial"/>
        </w:rPr>
        <w:t xml:space="preserve"> statutory officers as appropriate. </w:t>
      </w:r>
    </w:p>
    <w:p w14:paraId="6A9201E5" w14:textId="77777777" w:rsidR="00D176F1" w:rsidRDefault="00D176F1" w:rsidP="00D176F1">
      <w:pPr>
        <w:numPr>
          <w:ilvl w:val="0"/>
          <w:numId w:val="37"/>
        </w:numPr>
        <w:spacing w:after="120"/>
        <w:ind w:right="680"/>
        <w:rPr>
          <w:rFonts w:cs="Arial"/>
        </w:rPr>
      </w:pPr>
      <w:r>
        <w:rPr>
          <w:rFonts w:cs="Arial"/>
        </w:rPr>
        <w:t>To p</w:t>
      </w:r>
      <w:r w:rsidRPr="00321639">
        <w:rPr>
          <w:rFonts w:cs="Arial"/>
        </w:rPr>
        <w:t>ut in place arrangements (either through service level agreements or external contracts) for the provision of ongoing legal, financial, technical/engineering and commercial support to enable performance monitoring, contract compliance assurance, engineering assurance, and commercial appraisal.</w:t>
      </w:r>
    </w:p>
    <w:p w14:paraId="7E5FA540" w14:textId="77777777" w:rsidR="00D176F1" w:rsidRDefault="00D176F1" w:rsidP="00D176F1">
      <w:pPr>
        <w:numPr>
          <w:ilvl w:val="0"/>
          <w:numId w:val="37"/>
        </w:numPr>
        <w:spacing w:after="120"/>
        <w:ind w:right="680"/>
        <w:rPr>
          <w:rFonts w:cs="Arial"/>
        </w:rPr>
      </w:pPr>
      <w:r>
        <w:rPr>
          <w:rFonts w:cs="Arial"/>
        </w:rPr>
        <w:t>To o</w:t>
      </w:r>
      <w:r w:rsidRPr="00321639">
        <w:rPr>
          <w:rFonts w:cs="Arial"/>
        </w:rPr>
        <w:t>btain the necessary legal and financial support to make sure that proposals for contract change are fully evaluated and assessed, and where appropriate expedited in a timely manner that delivers both value for money and compliance with statutory/legal requirements including contractual matters, land issues, planning consents and way-leaves.</w:t>
      </w:r>
    </w:p>
    <w:p w14:paraId="36537A24" w14:textId="77777777" w:rsidR="00D176F1" w:rsidRDefault="00D176F1" w:rsidP="00D176F1">
      <w:pPr>
        <w:numPr>
          <w:ilvl w:val="0"/>
          <w:numId w:val="37"/>
        </w:numPr>
        <w:spacing w:after="120"/>
        <w:ind w:right="680"/>
        <w:rPr>
          <w:rFonts w:cs="Arial"/>
        </w:rPr>
      </w:pPr>
      <w:r>
        <w:rPr>
          <w:rFonts w:cs="Arial"/>
        </w:rPr>
        <w:lastRenderedPageBreak/>
        <w:t>To p</w:t>
      </w:r>
      <w:r w:rsidRPr="00321639">
        <w:rPr>
          <w:rFonts w:cs="Arial"/>
        </w:rPr>
        <w:t xml:space="preserve">repare, maintain and keep under regular review: contract and asset performance reports, consideration of proposed contractual changes, financial reports, a risk register, and information on external factors including changes to the regulatory environment affecting tunnels and strategic highways.  </w:t>
      </w:r>
    </w:p>
    <w:p w14:paraId="3B819484" w14:textId="34E59F28" w:rsidR="00D176F1" w:rsidRDefault="00D176F1" w:rsidP="00D176F1">
      <w:pPr>
        <w:numPr>
          <w:ilvl w:val="0"/>
          <w:numId w:val="37"/>
        </w:numPr>
        <w:spacing w:after="120"/>
        <w:ind w:right="680"/>
        <w:rPr>
          <w:rFonts w:cs="Arial"/>
        </w:rPr>
      </w:pPr>
      <w:r>
        <w:rPr>
          <w:rFonts w:cs="Arial"/>
        </w:rPr>
        <w:t>To p</w:t>
      </w:r>
      <w:r w:rsidRPr="00321639">
        <w:rPr>
          <w:rFonts w:cs="Arial"/>
        </w:rPr>
        <w:t xml:space="preserve">rovide regular management reports to the Managing Director, Transport North East and the Statutory Officers of the </w:t>
      </w:r>
      <w:r w:rsidR="00957635">
        <w:rPr>
          <w:rFonts w:cs="Arial"/>
        </w:rPr>
        <w:t>JTC</w:t>
      </w:r>
      <w:r w:rsidRPr="00321639">
        <w:rPr>
          <w:rFonts w:cs="Arial"/>
        </w:rPr>
        <w:t>.</w:t>
      </w:r>
    </w:p>
    <w:p w14:paraId="752B52D5" w14:textId="77777777" w:rsidR="00D176F1" w:rsidRDefault="00D176F1" w:rsidP="00D176F1">
      <w:pPr>
        <w:numPr>
          <w:ilvl w:val="0"/>
          <w:numId w:val="37"/>
        </w:numPr>
        <w:spacing w:after="120"/>
        <w:ind w:right="680"/>
        <w:rPr>
          <w:rFonts w:cs="Arial"/>
        </w:rPr>
      </w:pPr>
      <w:r>
        <w:rPr>
          <w:rFonts w:cs="Arial"/>
        </w:rPr>
        <w:t>To w</w:t>
      </w:r>
      <w:r w:rsidRPr="00321639">
        <w:rPr>
          <w:rFonts w:cs="Arial"/>
        </w:rPr>
        <w:t xml:space="preserve">ork with the Tyne Tunnels Concessionaire to develop a </w:t>
      </w:r>
      <w:proofErr w:type="gramStart"/>
      <w:r w:rsidRPr="00321639">
        <w:rPr>
          <w:rFonts w:cs="Arial"/>
        </w:rPr>
        <w:t>Transport Asset Management Plan and/or strategies</w:t>
      </w:r>
      <w:proofErr w:type="gramEnd"/>
      <w:r w:rsidRPr="00321639">
        <w:rPr>
          <w:rFonts w:cs="Arial"/>
        </w:rPr>
        <w:t xml:space="preserve"> for the development of land which lies </w:t>
      </w:r>
      <w:r>
        <w:rPr>
          <w:rFonts w:cs="Arial"/>
        </w:rPr>
        <w:t>o</w:t>
      </w:r>
      <w:r w:rsidRPr="00321639">
        <w:rPr>
          <w:rFonts w:cs="Arial"/>
        </w:rPr>
        <w:t>utside the site boundaries of the New Tyne Crossing project.</w:t>
      </w:r>
    </w:p>
    <w:p w14:paraId="1A15AF24" w14:textId="530232B0" w:rsidR="00D176F1" w:rsidRDefault="00D176F1" w:rsidP="00D176F1">
      <w:pPr>
        <w:numPr>
          <w:ilvl w:val="0"/>
          <w:numId w:val="37"/>
        </w:numPr>
        <w:spacing w:after="120"/>
        <w:ind w:right="680"/>
        <w:rPr>
          <w:rFonts w:cs="Arial"/>
        </w:rPr>
      </w:pPr>
      <w:r>
        <w:rPr>
          <w:rFonts w:cs="Arial"/>
        </w:rPr>
        <w:t>To e</w:t>
      </w:r>
      <w:r w:rsidRPr="00321639">
        <w:rPr>
          <w:rFonts w:cs="Arial"/>
        </w:rPr>
        <w:t xml:space="preserve">nsure effective liaison and communication with </w:t>
      </w:r>
      <w:r w:rsidR="00957635">
        <w:rPr>
          <w:rFonts w:cs="Arial"/>
        </w:rPr>
        <w:t xml:space="preserve">the two Combined Authorities, </w:t>
      </w:r>
      <w:r w:rsidRPr="00321639">
        <w:rPr>
          <w:rFonts w:cs="Arial"/>
        </w:rPr>
        <w:t>local authorities in Tyne and Wear</w:t>
      </w:r>
      <w:r w:rsidR="00957635">
        <w:rPr>
          <w:rFonts w:cs="Arial"/>
        </w:rPr>
        <w:t xml:space="preserve"> (in particular North Tyneside Council and South Tyneside Council elected members and transport officers)</w:t>
      </w:r>
      <w:r w:rsidRPr="00321639">
        <w:rPr>
          <w:rFonts w:cs="Arial"/>
        </w:rPr>
        <w:t xml:space="preserve">, local communities, neighbours, businesses, transport user groups, government and national agencies to promote the use and development of the Tyne Tunnels and their benefits to the region. </w:t>
      </w:r>
    </w:p>
    <w:p w14:paraId="4CECB1FF" w14:textId="77777777" w:rsidR="00D176F1" w:rsidRDefault="00D176F1" w:rsidP="00D176F1">
      <w:pPr>
        <w:numPr>
          <w:ilvl w:val="0"/>
          <w:numId w:val="37"/>
        </w:numPr>
        <w:spacing w:after="120"/>
        <w:ind w:right="680"/>
        <w:rPr>
          <w:rFonts w:cs="Arial"/>
        </w:rPr>
      </w:pPr>
      <w:r>
        <w:rPr>
          <w:rFonts w:cs="Arial"/>
        </w:rPr>
        <w:t>To m</w:t>
      </w:r>
      <w:r w:rsidRPr="00321639">
        <w:rPr>
          <w:rFonts w:cs="Arial"/>
        </w:rPr>
        <w:t>anage the New Tyne Crossing Community Fund</w:t>
      </w:r>
      <w:r>
        <w:rPr>
          <w:rFonts w:cs="Arial"/>
        </w:rPr>
        <w:t>.</w:t>
      </w:r>
    </w:p>
    <w:p w14:paraId="2F756D23" w14:textId="77777777" w:rsidR="00D176F1" w:rsidRDefault="00D176F1" w:rsidP="00D176F1">
      <w:pPr>
        <w:numPr>
          <w:ilvl w:val="0"/>
          <w:numId w:val="37"/>
        </w:numPr>
        <w:spacing w:after="120"/>
        <w:ind w:right="680"/>
        <w:rPr>
          <w:rFonts w:cs="Arial"/>
        </w:rPr>
      </w:pPr>
      <w:r>
        <w:rPr>
          <w:rFonts w:cs="Arial"/>
        </w:rPr>
        <w:t>To p</w:t>
      </w:r>
      <w:r w:rsidRPr="00321639">
        <w:rPr>
          <w:rFonts w:cs="Arial"/>
        </w:rPr>
        <w:t>romote the integration of the Tyne vehicle tunnels with local and strategic highways networks to promote smooth and reliable journey times and reduce the environmental impact of the tunnels and road-based traffic in general, including harmful emissions.</w:t>
      </w:r>
    </w:p>
    <w:p w14:paraId="46E8A7F7" w14:textId="77777777" w:rsidR="00D176F1" w:rsidRDefault="00D176F1" w:rsidP="00D176F1">
      <w:pPr>
        <w:numPr>
          <w:ilvl w:val="0"/>
          <w:numId w:val="37"/>
        </w:numPr>
        <w:spacing w:after="120"/>
        <w:ind w:right="680"/>
        <w:rPr>
          <w:rFonts w:cs="Arial"/>
        </w:rPr>
      </w:pPr>
      <w:r>
        <w:rPr>
          <w:rFonts w:cs="Arial"/>
        </w:rPr>
        <w:t>To p</w:t>
      </w:r>
      <w:r w:rsidRPr="00321639">
        <w:rPr>
          <w:rFonts w:cs="Arial"/>
        </w:rPr>
        <w:t xml:space="preserve">romote the integration of </w:t>
      </w:r>
      <w:r>
        <w:rPr>
          <w:rFonts w:cs="Arial"/>
        </w:rPr>
        <w:t xml:space="preserve">the </w:t>
      </w:r>
      <w:r w:rsidRPr="00321639">
        <w:rPr>
          <w:rFonts w:cs="Arial"/>
        </w:rPr>
        <w:t xml:space="preserve">Tyne pedestrian and cycling tunnels with local sustainable and transport networks to </w:t>
      </w:r>
      <w:r>
        <w:rPr>
          <w:rFonts w:cs="Arial"/>
        </w:rPr>
        <w:t>achieve the area’s</w:t>
      </w:r>
      <w:r w:rsidRPr="00321639">
        <w:rPr>
          <w:rFonts w:cs="Arial"/>
        </w:rPr>
        <w:t xml:space="preserve"> strategic goals for increased walking and cycling</w:t>
      </w:r>
      <w:r>
        <w:rPr>
          <w:rFonts w:cs="Arial"/>
        </w:rPr>
        <w:t>.</w:t>
      </w:r>
    </w:p>
    <w:p w14:paraId="668076CF" w14:textId="77777777" w:rsidR="00D176F1" w:rsidRPr="00321639" w:rsidRDefault="00D176F1" w:rsidP="00D176F1">
      <w:pPr>
        <w:numPr>
          <w:ilvl w:val="0"/>
          <w:numId w:val="37"/>
        </w:numPr>
        <w:spacing w:after="120"/>
        <w:ind w:right="680"/>
        <w:rPr>
          <w:rFonts w:cs="Arial"/>
        </w:rPr>
      </w:pPr>
      <w:r w:rsidRPr="00321639">
        <w:rPr>
          <w:rFonts w:cs="Arial"/>
        </w:rPr>
        <w:t>To contribute to the development of long-term strategic transport planning in the North East to ensure that the role of the Tyne Tunnels is recognised as one of the region’s major strategic transport assets; giving consideration to future operating arrangements when the current concession reaches its contractual end date; and inputting into strategies, plans and consultation responses relevant to developing the local strategic highways network and Tyne crossing capacity.</w:t>
      </w:r>
    </w:p>
    <w:p w14:paraId="695AD95C" w14:textId="60B86056" w:rsidR="00D176F1" w:rsidRDefault="00D176F1" w:rsidP="00D176F1">
      <w:pPr>
        <w:numPr>
          <w:ilvl w:val="0"/>
          <w:numId w:val="37"/>
        </w:numPr>
        <w:spacing w:after="120"/>
        <w:ind w:right="680"/>
        <w:rPr>
          <w:rFonts w:cs="Arial"/>
        </w:rPr>
      </w:pPr>
      <w:r>
        <w:rPr>
          <w:rFonts w:cs="Arial"/>
        </w:rPr>
        <w:t>To p</w:t>
      </w:r>
      <w:r w:rsidRPr="00321639">
        <w:rPr>
          <w:rFonts w:cs="Arial"/>
        </w:rPr>
        <w:t xml:space="preserve">rovide and deliver regular reports to the </w:t>
      </w:r>
      <w:r w:rsidR="00957635">
        <w:rPr>
          <w:rFonts w:cs="Arial"/>
        </w:rPr>
        <w:t>JTC’s</w:t>
      </w:r>
      <w:r w:rsidRPr="00321639">
        <w:rPr>
          <w:rFonts w:cs="Arial"/>
        </w:rPr>
        <w:t xml:space="preserve"> Tyne and Wear Sub-Committee, and relevant officer groups advising the JTC and it</w:t>
      </w:r>
      <w:r w:rsidR="00957635">
        <w:rPr>
          <w:rFonts w:cs="Arial"/>
        </w:rPr>
        <w:t>s</w:t>
      </w:r>
      <w:r w:rsidRPr="00321639">
        <w:rPr>
          <w:rFonts w:cs="Arial"/>
        </w:rPr>
        <w:t xml:space="preserve"> committees.  Ensure that members of the </w:t>
      </w:r>
      <w:r w:rsidR="00957635">
        <w:rPr>
          <w:rFonts w:cs="Arial"/>
        </w:rPr>
        <w:t>JTC</w:t>
      </w:r>
      <w:r w:rsidRPr="00321639">
        <w:rPr>
          <w:rFonts w:cs="Arial"/>
        </w:rPr>
        <w:t xml:space="preserve"> and its Tyne and Wear Sub-Committee have access to relevant briefing materials to aid political oversight and decision-making including in respect of proposed changes to bye-laws and tolling arrangements.</w:t>
      </w:r>
    </w:p>
    <w:p w14:paraId="5D51896B" w14:textId="77777777" w:rsidR="00D176F1" w:rsidRPr="00321639" w:rsidRDefault="00D176F1" w:rsidP="00D176F1">
      <w:pPr>
        <w:numPr>
          <w:ilvl w:val="0"/>
          <w:numId w:val="37"/>
        </w:numPr>
        <w:ind w:right="680"/>
        <w:rPr>
          <w:rFonts w:cs="Arial"/>
        </w:rPr>
      </w:pPr>
      <w:r w:rsidRPr="00321639">
        <w:rPr>
          <w:rFonts w:cs="Arial"/>
        </w:rPr>
        <w:t>The above is not exhaustive and the post holder will be expected to undertake any duties which may reasonably fall within the level of responsibility and the competence of the post as directed by the Managing Directors, Transport North East.</w:t>
      </w:r>
    </w:p>
    <w:p w14:paraId="1C11B666" w14:textId="77777777" w:rsidR="00D176F1" w:rsidRPr="00AE4BB7" w:rsidRDefault="00D176F1" w:rsidP="00D176F1">
      <w:pPr>
        <w:spacing w:line="320" w:lineRule="exact"/>
        <w:ind w:left="720" w:right="680"/>
        <w:rPr>
          <w:rFonts w:cs="Arial"/>
        </w:rPr>
      </w:pPr>
    </w:p>
    <w:p w14:paraId="6E8F2970" w14:textId="77777777" w:rsidR="00D176F1" w:rsidRPr="00AE4BB7" w:rsidRDefault="00D176F1" w:rsidP="00D176F1">
      <w:pPr>
        <w:ind w:right="680"/>
        <w:rPr>
          <w:rFonts w:cs="Arial"/>
          <w:b/>
          <w:bCs/>
        </w:rPr>
      </w:pPr>
      <w:r w:rsidRPr="00AE4BB7">
        <w:rPr>
          <w:rFonts w:cs="Arial"/>
          <w:b/>
          <w:bCs/>
        </w:rPr>
        <w:t>8.</w:t>
      </w:r>
      <w:r w:rsidRPr="00AE4BB7">
        <w:rPr>
          <w:rFonts w:cs="Arial"/>
          <w:b/>
          <w:bCs/>
        </w:rPr>
        <w:tab/>
        <w:t>Common Duties and Responsibilities:</w:t>
      </w:r>
    </w:p>
    <w:p w14:paraId="0535AB59" w14:textId="77777777" w:rsidR="00D176F1" w:rsidRPr="00AE4BB7" w:rsidRDefault="00D176F1" w:rsidP="00D176F1">
      <w:pPr>
        <w:ind w:left="720" w:right="680" w:hanging="720"/>
        <w:rPr>
          <w:rFonts w:cs="Arial"/>
        </w:rPr>
      </w:pPr>
    </w:p>
    <w:p w14:paraId="76FB19F8" w14:textId="77777777" w:rsidR="00D176F1" w:rsidRPr="00AE4BB7" w:rsidRDefault="00D176F1" w:rsidP="00D176F1">
      <w:pPr>
        <w:pStyle w:val="Header"/>
        <w:spacing w:after="240"/>
        <w:ind w:left="709" w:right="680" w:hanging="709"/>
        <w:rPr>
          <w:rFonts w:cs="Arial"/>
        </w:rPr>
      </w:pPr>
      <w:r>
        <w:rPr>
          <w:rFonts w:cs="Arial"/>
        </w:rPr>
        <w:t xml:space="preserve">8.1      </w:t>
      </w:r>
      <w:r w:rsidRPr="00AE4BB7">
        <w:rPr>
          <w:rFonts w:cs="Arial"/>
          <w:b/>
          <w:bCs/>
        </w:rPr>
        <w:t>Quality Assurance</w:t>
      </w:r>
    </w:p>
    <w:p w14:paraId="1A20387B" w14:textId="77777777" w:rsidR="00D176F1" w:rsidRPr="00AE4BB7" w:rsidRDefault="00D176F1" w:rsidP="00D176F1">
      <w:pPr>
        <w:spacing w:after="240"/>
        <w:ind w:left="709" w:right="680" w:hanging="709"/>
        <w:rPr>
          <w:rFonts w:cs="Arial"/>
        </w:rPr>
      </w:pPr>
      <w:r w:rsidRPr="00AE4BB7">
        <w:rPr>
          <w:rFonts w:cs="Arial"/>
        </w:rPr>
        <w:tab/>
        <w:t>To set, monitor and evaluate standards at individual, team performance and service quality so that the highest standards are maintained.</w:t>
      </w:r>
    </w:p>
    <w:p w14:paraId="6123840C" w14:textId="77777777" w:rsidR="00D176F1" w:rsidRPr="00AE4BB7" w:rsidRDefault="00D176F1" w:rsidP="00D176F1">
      <w:pPr>
        <w:spacing w:after="240"/>
        <w:ind w:right="680"/>
        <w:rPr>
          <w:rFonts w:cs="Arial"/>
          <w:b/>
          <w:bCs/>
        </w:rPr>
      </w:pPr>
      <w:r w:rsidRPr="00AE4BB7">
        <w:rPr>
          <w:rFonts w:cs="Arial"/>
        </w:rPr>
        <w:lastRenderedPageBreak/>
        <w:t>8.2</w:t>
      </w:r>
      <w:r w:rsidRPr="00AE4BB7">
        <w:rPr>
          <w:rFonts w:cs="Arial"/>
        </w:rPr>
        <w:tab/>
      </w:r>
      <w:r w:rsidRPr="00AE4BB7">
        <w:rPr>
          <w:rFonts w:cs="Arial"/>
          <w:b/>
          <w:bCs/>
        </w:rPr>
        <w:t>Communication</w:t>
      </w:r>
    </w:p>
    <w:p w14:paraId="2A8DB77F" w14:textId="77777777" w:rsidR="00D176F1" w:rsidRPr="00AE4BB7" w:rsidRDefault="00D176F1" w:rsidP="00D176F1">
      <w:pPr>
        <w:spacing w:after="240"/>
        <w:ind w:left="709" w:right="680"/>
        <w:rPr>
          <w:rFonts w:cs="Arial"/>
        </w:rPr>
      </w:pPr>
      <w:r w:rsidRPr="00AE4BB7">
        <w:rPr>
          <w:rFonts w:cs="Arial"/>
        </w:rPr>
        <w:t xml:space="preserve">To establish and manage the communications systems ensuring that </w:t>
      </w:r>
      <w:r>
        <w:rPr>
          <w:rFonts w:cs="Arial"/>
        </w:rPr>
        <w:t xml:space="preserve">relevant </w:t>
      </w:r>
      <w:r w:rsidRPr="00AE4BB7">
        <w:rPr>
          <w:rFonts w:cs="Arial"/>
        </w:rPr>
        <w:t>procedures, policies, strategies and objectives are effectively communicated to all team members.</w:t>
      </w:r>
    </w:p>
    <w:p w14:paraId="19C555A3" w14:textId="77777777" w:rsidR="00D176F1" w:rsidRPr="00AE4BB7" w:rsidRDefault="00D176F1" w:rsidP="00D176F1">
      <w:pPr>
        <w:spacing w:after="240"/>
        <w:ind w:left="709" w:right="680" w:hanging="709"/>
        <w:rPr>
          <w:rFonts w:cs="Arial"/>
        </w:rPr>
      </w:pPr>
      <w:r w:rsidRPr="00AE4BB7">
        <w:rPr>
          <w:rFonts w:cs="Arial"/>
        </w:rPr>
        <w:t>8.3</w:t>
      </w:r>
      <w:r w:rsidRPr="00AE4BB7">
        <w:rPr>
          <w:rFonts w:cs="Arial"/>
        </w:rPr>
        <w:tab/>
      </w:r>
      <w:r w:rsidRPr="00AE4BB7">
        <w:rPr>
          <w:rFonts w:cs="Arial"/>
          <w:b/>
          <w:bCs/>
        </w:rPr>
        <w:t>Professional Practice</w:t>
      </w:r>
    </w:p>
    <w:p w14:paraId="4273012B" w14:textId="77777777" w:rsidR="00D176F1" w:rsidRPr="00AE4BB7" w:rsidRDefault="00D176F1" w:rsidP="00D176F1">
      <w:pPr>
        <w:spacing w:after="240"/>
        <w:ind w:left="709" w:right="680" w:hanging="709"/>
        <w:rPr>
          <w:rFonts w:cs="Arial"/>
        </w:rPr>
      </w:pPr>
      <w:r w:rsidRPr="00AE4BB7">
        <w:rPr>
          <w:rFonts w:cs="Arial"/>
        </w:rPr>
        <w:tab/>
        <w:t>To ensure that professional practice in the team is carried out to the highest standards and developed in line with the objectives of continual improvement in quality of its service to internal and external customers.</w:t>
      </w:r>
    </w:p>
    <w:p w14:paraId="510095E1" w14:textId="77777777" w:rsidR="00D176F1" w:rsidRPr="00AE4BB7" w:rsidRDefault="00D176F1" w:rsidP="00D176F1">
      <w:pPr>
        <w:spacing w:after="240"/>
        <w:ind w:right="680"/>
        <w:rPr>
          <w:rFonts w:cs="Arial"/>
          <w:b/>
          <w:bCs/>
          <w:u w:val="single"/>
        </w:rPr>
      </w:pPr>
      <w:r w:rsidRPr="00AE4BB7">
        <w:rPr>
          <w:rFonts w:cs="Arial"/>
        </w:rPr>
        <w:t>8.4</w:t>
      </w:r>
      <w:r w:rsidRPr="00AE4BB7">
        <w:rPr>
          <w:rFonts w:cs="Arial"/>
        </w:rPr>
        <w:tab/>
      </w:r>
      <w:r w:rsidRPr="00AE4BB7">
        <w:rPr>
          <w:rFonts w:cs="Arial"/>
          <w:b/>
          <w:bCs/>
        </w:rPr>
        <w:t>Health and Safety</w:t>
      </w:r>
    </w:p>
    <w:p w14:paraId="1E82A89D" w14:textId="77777777" w:rsidR="00D176F1" w:rsidRPr="00AE4BB7" w:rsidRDefault="00D176F1" w:rsidP="00D176F1">
      <w:pPr>
        <w:spacing w:after="240"/>
        <w:ind w:left="709" w:right="680"/>
        <w:rPr>
          <w:rFonts w:cs="Arial"/>
        </w:rPr>
      </w:pPr>
      <w:r w:rsidRPr="00AE4BB7">
        <w:rPr>
          <w:rFonts w:cs="Arial"/>
        </w:rPr>
        <w:t>To ensure that the Health and Safety policy, organisation arrangements and procedures as they related to areas, activities and personnel under your control are understood, implemented and monitored.</w:t>
      </w:r>
    </w:p>
    <w:p w14:paraId="158B5AA4" w14:textId="77777777" w:rsidR="00D176F1" w:rsidRPr="00AE4BB7" w:rsidRDefault="00D176F1" w:rsidP="00D176F1">
      <w:pPr>
        <w:spacing w:after="240"/>
        <w:ind w:right="680"/>
        <w:rPr>
          <w:rFonts w:cs="Arial"/>
          <w:b/>
          <w:bCs/>
          <w:u w:val="single"/>
        </w:rPr>
      </w:pPr>
      <w:r w:rsidRPr="00AE4BB7">
        <w:rPr>
          <w:rFonts w:cs="Arial"/>
        </w:rPr>
        <w:t>8.5</w:t>
      </w:r>
      <w:r w:rsidRPr="00AE4BB7">
        <w:rPr>
          <w:rFonts w:cs="Arial"/>
        </w:rPr>
        <w:tab/>
      </w:r>
      <w:r w:rsidRPr="00AE4BB7">
        <w:rPr>
          <w:rFonts w:cs="Arial"/>
          <w:b/>
          <w:bCs/>
        </w:rPr>
        <w:t xml:space="preserve">General Management </w:t>
      </w:r>
    </w:p>
    <w:p w14:paraId="1E21039F" w14:textId="173B7B10" w:rsidR="00D176F1" w:rsidRPr="00AE4BB7" w:rsidRDefault="00D176F1" w:rsidP="00D176F1">
      <w:pPr>
        <w:spacing w:after="240"/>
        <w:ind w:left="709" w:right="680"/>
        <w:rPr>
          <w:rFonts w:cs="Arial"/>
        </w:rPr>
      </w:pPr>
      <w:r w:rsidRPr="00AE4BB7">
        <w:rPr>
          <w:rFonts w:cs="Arial"/>
        </w:rPr>
        <w:t>To provide vision and leadership to staff within a specialist team, ensuring that effective systems are in place for workload allocation and man</w:t>
      </w:r>
      <w:r w:rsidR="00957635">
        <w:rPr>
          <w:rFonts w:cs="Arial"/>
        </w:rPr>
        <w:t xml:space="preserve">agement, the application of applicable </w:t>
      </w:r>
      <w:r w:rsidRPr="00AE4BB7">
        <w:rPr>
          <w:rFonts w:cs="Arial"/>
        </w:rPr>
        <w:t>policies and procedures, including those relating to equality, supervision and appraisal and all aspects of their performance, personal development, health and welfare.</w:t>
      </w:r>
    </w:p>
    <w:p w14:paraId="7394AD85" w14:textId="77777777" w:rsidR="00D176F1" w:rsidRPr="00AE4BB7" w:rsidRDefault="00D176F1" w:rsidP="00D176F1">
      <w:pPr>
        <w:spacing w:after="240"/>
        <w:ind w:right="680"/>
        <w:rPr>
          <w:rFonts w:cs="Arial"/>
          <w:b/>
          <w:bCs/>
          <w:u w:val="single"/>
        </w:rPr>
      </w:pPr>
      <w:r w:rsidRPr="00AE4BB7">
        <w:rPr>
          <w:rFonts w:cs="Arial"/>
        </w:rPr>
        <w:t>8.6</w:t>
      </w:r>
      <w:r w:rsidRPr="00AE4BB7">
        <w:rPr>
          <w:rFonts w:cs="Arial"/>
        </w:rPr>
        <w:tab/>
      </w:r>
      <w:r w:rsidRPr="00AE4BB7">
        <w:rPr>
          <w:rFonts w:cs="Arial"/>
          <w:b/>
          <w:bCs/>
        </w:rPr>
        <w:t xml:space="preserve">Financial Management </w:t>
      </w:r>
    </w:p>
    <w:p w14:paraId="29D1C174" w14:textId="77777777" w:rsidR="00D176F1" w:rsidRPr="00AE4BB7" w:rsidRDefault="00D176F1" w:rsidP="00D176F1">
      <w:pPr>
        <w:spacing w:after="240"/>
        <w:ind w:left="720" w:right="680" w:hanging="11"/>
        <w:rPr>
          <w:rFonts w:cs="Arial"/>
        </w:rPr>
      </w:pPr>
      <w:r w:rsidRPr="00AE4BB7">
        <w:rPr>
          <w:rFonts w:cs="Arial"/>
        </w:rPr>
        <w:t>To manage designated budget</w:t>
      </w:r>
      <w:r>
        <w:rPr>
          <w:rFonts w:cs="Arial"/>
        </w:rPr>
        <w:t>s</w:t>
      </w:r>
      <w:r w:rsidRPr="00AE4BB7">
        <w:rPr>
          <w:rFonts w:cs="Arial"/>
        </w:rPr>
        <w:t xml:space="preserve"> ensuring that the Service achieves value for money in all circumstances through the monitoring and control of expenditure and the early identification of any financial irregularity.</w:t>
      </w:r>
    </w:p>
    <w:p w14:paraId="6EF7359C" w14:textId="77777777" w:rsidR="00D176F1" w:rsidRPr="00AE4BB7" w:rsidRDefault="00D176F1" w:rsidP="00D176F1">
      <w:pPr>
        <w:pStyle w:val="Header"/>
        <w:tabs>
          <w:tab w:val="left" w:pos="709"/>
        </w:tabs>
        <w:spacing w:after="240"/>
        <w:ind w:left="709" w:right="680" w:hanging="709"/>
        <w:rPr>
          <w:rFonts w:cs="Arial"/>
          <w:b/>
          <w:bCs/>
        </w:rPr>
      </w:pPr>
      <w:r w:rsidRPr="00AE4BB7">
        <w:rPr>
          <w:rFonts w:cs="Arial"/>
        </w:rPr>
        <w:t>8.7</w:t>
      </w:r>
      <w:r w:rsidRPr="00AE4BB7">
        <w:rPr>
          <w:rFonts w:cs="Arial"/>
        </w:rPr>
        <w:tab/>
      </w:r>
      <w:r w:rsidRPr="00AE4BB7">
        <w:rPr>
          <w:rFonts w:cs="Arial"/>
          <w:b/>
          <w:bCs/>
        </w:rPr>
        <w:t>Appraisal</w:t>
      </w:r>
    </w:p>
    <w:p w14:paraId="1CD0A3E6" w14:textId="77777777" w:rsidR="00D176F1" w:rsidRPr="00AE4BB7" w:rsidRDefault="00D176F1" w:rsidP="00D176F1">
      <w:pPr>
        <w:spacing w:after="240"/>
        <w:ind w:left="720" w:right="680" w:hanging="720"/>
        <w:rPr>
          <w:rFonts w:cs="Arial"/>
        </w:rPr>
      </w:pPr>
      <w:r w:rsidRPr="00AE4BB7">
        <w:rPr>
          <w:rFonts w:cs="Arial"/>
        </w:rPr>
        <w:tab/>
        <w:t>All members of staff will receive appraisals and it is the responsibility of each member of staff to follow guidance on the appraisal process.</w:t>
      </w:r>
    </w:p>
    <w:p w14:paraId="0B2C7CB5" w14:textId="77777777" w:rsidR="00D176F1" w:rsidRPr="00AE4BB7" w:rsidRDefault="00D176F1" w:rsidP="00D176F1">
      <w:pPr>
        <w:spacing w:after="240"/>
        <w:ind w:left="720" w:right="680" w:hanging="720"/>
        <w:rPr>
          <w:rFonts w:cs="Arial"/>
        </w:rPr>
      </w:pPr>
      <w:r w:rsidRPr="00AE4BB7">
        <w:rPr>
          <w:rFonts w:cs="Arial"/>
        </w:rPr>
        <w:t>8.8</w:t>
      </w:r>
      <w:r w:rsidRPr="00AE4BB7">
        <w:rPr>
          <w:rFonts w:cs="Arial"/>
          <w:b/>
          <w:bCs/>
        </w:rPr>
        <w:tab/>
        <w:t>Equality and Diversity</w:t>
      </w:r>
    </w:p>
    <w:p w14:paraId="44B8F08A" w14:textId="77777777" w:rsidR="00D176F1" w:rsidRPr="00AE4BB7" w:rsidRDefault="00D176F1" w:rsidP="00D176F1">
      <w:pPr>
        <w:spacing w:after="240"/>
        <w:ind w:left="720" w:right="680" w:hanging="720"/>
        <w:rPr>
          <w:rFonts w:cs="Arial"/>
        </w:rPr>
      </w:pPr>
      <w:r w:rsidRPr="00AE4BB7">
        <w:rPr>
          <w:rFonts w:cs="Arial"/>
        </w:rPr>
        <w:tab/>
        <w:t>To ensure our commitment is put into practice we have an equality policy which includes responsibility for all staff to eliminate unfair and unlawful discrimination, advance equality of opportunity for all and foster good relations</w:t>
      </w:r>
      <w:r w:rsidRPr="00AE4BB7">
        <w:rPr>
          <w:rFonts w:cs="Arial"/>
          <w:color w:val="000080"/>
        </w:rPr>
        <w:t>.</w:t>
      </w:r>
    </w:p>
    <w:p w14:paraId="05F0AE3C" w14:textId="77777777" w:rsidR="00D176F1" w:rsidRPr="00AE4BB7" w:rsidRDefault="00D176F1" w:rsidP="00D176F1">
      <w:pPr>
        <w:spacing w:after="240"/>
        <w:ind w:left="720" w:right="680" w:hanging="720"/>
        <w:rPr>
          <w:rFonts w:cs="Arial"/>
        </w:rPr>
      </w:pPr>
      <w:r w:rsidRPr="00AE4BB7">
        <w:rPr>
          <w:rFonts w:cs="Arial"/>
        </w:rPr>
        <w:t>8.9</w:t>
      </w:r>
      <w:r w:rsidRPr="00AE4BB7">
        <w:rPr>
          <w:rFonts w:cs="Arial"/>
          <w:b/>
          <w:bCs/>
        </w:rPr>
        <w:tab/>
        <w:t>Confidentiality</w:t>
      </w:r>
    </w:p>
    <w:p w14:paraId="7D58EDF0" w14:textId="77777777" w:rsidR="00D176F1" w:rsidRPr="00AE4BB7" w:rsidRDefault="00D176F1" w:rsidP="00D176F1">
      <w:pPr>
        <w:spacing w:after="240"/>
        <w:ind w:left="720" w:right="680" w:hanging="720"/>
        <w:rPr>
          <w:rFonts w:cs="Arial"/>
        </w:rPr>
      </w:pPr>
      <w:r w:rsidRPr="00AE4BB7">
        <w:rPr>
          <w:rFonts w:cs="Arial"/>
        </w:rPr>
        <w:tab/>
        <w:t>All members of staff are required to undertake that they will not divulge to anyone personal and/or confidential information to which they may have access during the course of their work.</w:t>
      </w:r>
    </w:p>
    <w:p w14:paraId="57AD0E97" w14:textId="77777777" w:rsidR="00D176F1" w:rsidRPr="00AE4BB7" w:rsidRDefault="00D176F1" w:rsidP="00D176F1">
      <w:pPr>
        <w:spacing w:after="240"/>
        <w:ind w:left="720" w:right="680"/>
        <w:rPr>
          <w:rFonts w:cs="Arial"/>
        </w:rPr>
      </w:pPr>
      <w:r w:rsidRPr="00AE4BB7">
        <w:rPr>
          <w:rFonts w:cs="Arial"/>
        </w:rPr>
        <w:t xml:space="preserve">All members of staff must be aware that they have explicit responsibility for the confidentiality and security of information received and imported in the course of work and using Council information assets.  The </w:t>
      </w:r>
      <w:r>
        <w:rPr>
          <w:rFonts w:cs="Arial"/>
        </w:rPr>
        <w:t xml:space="preserve">NECA </w:t>
      </w:r>
      <w:r w:rsidRPr="00AE4BB7">
        <w:rPr>
          <w:rFonts w:cs="Arial"/>
        </w:rPr>
        <w:t>has a Personal Information Security Policy in place.</w:t>
      </w:r>
    </w:p>
    <w:p w14:paraId="2515A12E" w14:textId="77777777" w:rsidR="00D176F1" w:rsidRPr="00AE4BB7" w:rsidRDefault="00D176F1" w:rsidP="00D176F1">
      <w:pPr>
        <w:spacing w:after="240"/>
        <w:ind w:left="720" w:right="680" w:hanging="720"/>
        <w:rPr>
          <w:rFonts w:cs="Arial"/>
        </w:rPr>
      </w:pPr>
      <w:r w:rsidRPr="00AE4BB7">
        <w:rPr>
          <w:rFonts w:cs="Arial"/>
        </w:rPr>
        <w:t>8.10</w:t>
      </w:r>
      <w:r w:rsidRPr="00AE4BB7">
        <w:rPr>
          <w:rFonts w:cs="Arial"/>
          <w:b/>
          <w:bCs/>
        </w:rPr>
        <w:tab/>
        <w:t>Induction</w:t>
      </w:r>
    </w:p>
    <w:p w14:paraId="49D531E2" w14:textId="77777777" w:rsidR="00D176F1" w:rsidRPr="00AE4BB7" w:rsidRDefault="00D176F1" w:rsidP="00D176F1">
      <w:pPr>
        <w:ind w:left="720" w:right="680"/>
        <w:rPr>
          <w:rFonts w:cs="Arial"/>
        </w:rPr>
      </w:pPr>
      <w:r w:rsidRPr="00AE4BB7">
        <w:rPr>
          <w:rFonts w:cs="Arial"/>
        </w:rPr>
        <w:lastRenderedPageBreak/>
        <w:t xml:space="preserve">The </w:t>
      </w:r>
      <w:r>
        <w:rPr>
          <w:rFonts w:cs="Arial"/>
        </w:rPr>
        <w:t>NECA</w:t>
      </w:r>
      <w:r w:rsidRPr="00AE4BB7">
        <w:rPr>
          <w:rFonts w:cs="Arial"/>
        </w:rPr>
        <w:t xml:space="preserve"> has in place an induction programme designed to help new employees to become effective in their roles and to find their way in the organisation.</w:t>
      </w:r>
    </w:p>
    <w:p w14:paraId="12E79295" w14:textId="77777777" w:rsidR="00D176F1" w:rsidRPr="00AE4BB7" w:rsidRDefault="00D176F1" w:rsidP="00D176F1">
      <w:pPr>
        <w:ind w:right="680"/>
        <w:rPr>
          <w:rFonts w:cs="Arial"/>
          <w:b/>
          <w:bCs/>
        </w:rPr>
      </w:pPr>
    </w:p>
    <w:p w14:paraId="58EF0BAF" w14:textId="77777777" w:rsidR="00D176F1" w:rsidRPr="00AE4BB7" w:rsidRDefault="00D176F1" w:rsidP="00D176F1">
      <w:pPr>
        <w:rPr>
          <w:rFonts w:cs="Arial"/>
        </w:rPr>
      </w:pPr>
    </w:p>
    <w:p w14:paraId="65A02332" w14:textId="77777777" w:rsidR="00D176F1" w:rsidRPr="00AE4BB7" w:rsidRDefault="00D176F1" w:rsidP="00D176F1">
      <w:pPr>
        <w:rPr>
          <w:rFonts w:cs="Arial"/>
        </w:rPr>
        <w:sectPr w:rsidR="00D176F1" w:rsidRPr="00AE4BB7" w:rsidSect="00EC3B51">
          <w:footerReference w:type="first" r:id="rId12"/>
          <w:pgSz w:w="11906" w:h="16838" w:code="9"/>
          <w:pgMar w:top="714" w:right="1077" w:bottom="1135" w:left="1077" w:header="720" w:footer="567" w:gutter="0"/>
          <w:cols w:space="720"/>
          <w:titlePg/>
          <w:docGrid w:linePitch="360"/>
        </w:sectPr>
      </w:pPr>
    </w:p>
    <w:p w14:paraId="4B732136" w14:textId="77777777" w:rsidR="00D176F1" w:rsidRPr="00AE4BB7" w:rsidRDefault="00D176F1" w:rsidP="00D176F1">
      <w:pPr>
        <w:rPr>
          <w:rFonts w:cs="Arial"/>
          <w:b/>
        </w:rPr>
      </w:pPr>
      <w:r w:rsidRPr="00AE4BB7">
        <w:rPr>
          <w:rFonts w:cs="Arial"/>
          <w:b/>
        </w:rPr>
        <w:lastRenderedPageBreak/>
        <w:t xml:space="preserve">Person Specification – </w:t>
      </w:r>
      <w:r>
        <w:rPr>
          <w:rFonts w:cs="Arial"/>
          <w:b/>
        </w:rPr>
        <w:t>Tyne Tunnels</w:t>
      </w:r>
      <w:r w:rsidRPr="00AE4BB7">
        <w:rPr>
          <w:rFonts w:cs="Arial"/>
          <w:b/>
        </w:rPr>
        <w:t xml:space="preserve"> Manager</w:t>
      </w:r>
    </w:p>
    <w:p w14:paraId="1ACDEB9D" w14:textId="77777777" w:rsidR="00D176F1" w:rsidRPr="00AE4BB7" w:rsidRDefault="00D176F1" w:rsidP="00D176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569"/>
        <w:gridCol w:w="2569"/>
        <w:gridCol w:w="2570"/>
      </w:tblGrid>
      <w:tr w:rsidR="00D176F1" w:rsidRPr="00AE4BB7" w14:paraId="7277B4E0" w14:textId="77777777" w:rsidTr="00F03AF8">
        <w:trPr>
          <w:tblHeader/>
        </w:trPr>
        <w:tc>
          <w:tcPr>
            <w:tcW w:w="2031" w:type="dxa"/>
          </w:tcPr>
          <w:p w14:paraId="68D49517" w14:textId="77777777" w:rsidR="00D176F1" w:rsidRPr="00AE4BB7" w:rsidRDefault="00D176F1" w:rsidP="00F03AF8">
            <w:pPr>
              <w:rPr>
                <w:rFonts w:cs="Arial"/>
              </w:rPr>
            </w:pPr>
          </w:p>
        </w:tc>
        <w:tc>
          <w:tcPr>
            <w:tcW w:w="2569" w:type="dxa"/>
          </w:tcPr>
          <w:p w14:paraId="3E686FE4" w14:textId="77777777" w:rsidR="00D176F1" w:rsidRPr="00AE4BB7" w:rsidRDefault="00D176F1" w:rsidP="00F03AF8">
            <w:pPr>
              <w:jc w:val="center"/>
              <w:rPr>
                <w:rFonts w:cs="Arial"/>
                <w:b/>
              </w:rPr>
            </w:pPr>
            <w:r w:rsidRPr="00AE4BB7">
              <w:rPr>
                <w:rFonts w:cs="Arial"/>
                <w:b/>
              </w:rPr>
              <w:t>Essential</w:t>
            </w:r>
          </w:p>
        </w:tc>
        <w:tc>
          <w:tcPr>
            <w:tcW w:w="2569" w:type="dxa"/>
          </w:tcPr>
          <w:p w14:paraId="4799642E" w14:textId="77777777" w:rsidR="00D176F1" w:rsidRPr="00AE4BB7" w:rsidRDefault="00D176F1" w:rsidP="00F03AF8">
            <w:pPr>
              <w:jc w:val="center"/>
              <w:rPr>
                <w:rFonts w:cs="Arial"/>
                <w:b/>
              </w:rPr>
            </w:pPr>
            <w:r w:rsidRPr="00AE4BB7">
              <w:rPr>
                <w:rFonts w:cs="Arial"/>
                <w:b/>
              </w:rPr>
              <w:t>Desirable</w:t>
            </w:r>
          </w:p>
        </w:tc>
        <w:tc>
          <w:tcPr>
            <w:tcW w:w="2570" w:type="dxa"/>
          </w:tcPr>
          <w:p w14:paraId="62A51732" w14:textId="77777777" w:rsidR="00D176F1" w:rsidRPr="00AE4BB7" w:rsidRDefault="00D176F1" w:rsidP="00F03AF8">
            <w:pPr>
              <w:jc w:val="center"/>
              <w:rPr>
                <w:rFonts w:cs="Arial"/>
                <w:b/>
              </w:rPr>
            </w:pPr>
            <w:r w:rsidRPr="00AE4BB7">
              <w:rPr>
                <w:rFonts w:cs="Arial"/>
                <w:b/>
              </w:rPr>
              <w:t>Method of Assessment</w:t>
            </w:r>
          </w:p>
        </w:tc>
      </w:tr>
      <w:tr w:rsidR="00D176F1" w:rsidRPr="00AE4BB7" w14:paraId="6546D367" w14:textId="77777777" w:rsidTr="00F03AF8">
        <w:tc>
          <w:tcPr>
            <w:tcW w:w="2031" w:type="dxa"/>
          </w:tcPr>
          <w:p w14:paraId="7562DBCD" w14:textId="77777777" w:rsidR="00D176F1" w:rsidRPr="00AE4BB7" w:rsidRDefault="00D176F1" w:rsidP="00F03AF8">
            <w:pPr>
              <w:rPr>
                <w:rFonts w:cs="Arial"/>
              </w:rPr>
            </w:pPr>
            <w:r w:rsidRPr="00AE4BB7">
              <w:rPr>
                <w:rFonts w:cs="Arial"/>
              </w:rPr>
              <w:t>Education/</w:t>
            </w:r>
            <w:r>
              <w:rPr>
                <w:rFonts w:cs="Arial"/>
              </w:rPr>
              <w:t xml:space="preserve"> </w:t>
            </w:r>
            <w:r w:rsidRPr="00AE4BB7">
              <w:rPr>
                <w:rFonts w:cs="Arial"/>
              </w:rPr>
              <w:t>Qualification</w:t>
            </w:r>
          </w:p>
        </w:tc>
        <w:tc>
          <w:tcPr>
            <w:tcW w:w="2569" w:type="dxa"/>
          </w:tcPr>
          <w:p w14:paraId="6C972D00"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Educated to degree level</w:t>
            </w:r>
            <w:r>
              <w:rPr>
                <w:rFonts w:cs="Arial"/>
              </w:rPr>
              <w:t xml:space="preserve"> or equivalent in an appropriate discipline</w:t>
            </w:r>
          </w:p>
          <w:p w14:paraId="7EA637A2" w14:textId="77777777" w:rsidR="00D176F1" w:rsidRPr="00E7347D" w:rsidRDefault="00D176F1" w:rsidP="00D176F1">
            <w:pPr>
              <w:numPr>
                <w:ilvl w:val="0"/>
                <w:numId w:val="38"/>
              </w:numPr>
              <w:tabs>
                <w:tab w:val="clear" w:pos="720"/>
                <w:tab w:val="num" w:pos="309"/>
              </w:tabs>
              <w:ind w:left="309" w:hanging="284"/>
              <w:rPr>
                <w:rFonts w:cs="Arial"/>
              </w:rPr>
            </w:pPr>
            <w:r w:rsidRPr="00AE4BB7">
              <w:rPr>
                <w:rFonts w:cs="Arial"/>
              </w:rPr>
              <w:t>Evidence of Continuous Professional Development</w:t>
            </w:r>
          </w:p>
        </w:tc>
        <w:tc>
          <w:tcPr>
            <w:tcW w:w="2569" w:type="dxa"/>
          </w:tcPr>
          <w:p w14:paraId="49B12B93" w14:textId="77777777" w:rsidR="00D176F1" w:rsidRPr="00E45D02" w:rsidRDefault="00D176F1" w:rsidP="00D176F1">
            <w:pPr>
              <w:numPr>
                <w:ilvl w:val="0"/>
                <w:numId w:val="38"/>
              </w:numPr>
              <w:tabs>
                <w:tab w:val="clear" w:pos="720"/>
                <w:tab w:val="num" w:pos="309"/>
              </w:tabs>
              <w:ind w:left="309" w:hanging="284"/>
              <w:rPr>
                <w:rFonts w:cs="Arial"/>
              </w:rPr>
            </w:pPr>
            <w:r w:rsidRPr="00E45D02">
              <w:rPr>
                <w:rFonts w:cs="Arial"/>
              </w:rPr>
              <w:t>Membership of a relevant professional institute.</w:t>
            </w:r>
          </w:p>
          <w:p w14:paraId="2CE18BA2" w14:textId="77777777" w:rsidR="00D176F1" w:rsidRPr="00AE4BB7" w:rsidRDefault="00D176F1" w:rsidP="00F03AF8">
            <w:pPr>
              <w:tabs>
                <w:tab w:val="num" w:pos="309"/>
              </w:tabs>
              <w:ind w:left="309" w:hanging="284"/>
              <w:rPr>
                <w:rFonts w:cs="Arial"/>
              </w:rPr>
            </w:pPr>
          </w:p>
        </w:tc>
        <w:tc>
          <w:tcPr>
            <w:tcW w:w="2570" w:type="dxa"/>
          </w:tcPr>
          <w:p w14:paraId="63B68889"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Application Form</w:t>
            </w:r>
          </w:p>
          <w:p w14:paraId="6CA0E2EF"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Selection Process</w:t>
            </w:r>
          </w:p>
          <w:p w14:paraId="732ECBA1"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Pre-Employment Checks</w:t>
            </w:r>
          </w:p>
        </w:tc>
      </w:tr>
      <w:tr w:rsidR="00D176F1" w:rsidRPr="00AE4BB7" w14:paraId="1A946231" w14:textId="77777777" w:rsidTr="00F03AF8">
        <w:tc>
          <w:tcPr>
            <w:tcW w:w="2031" w:type="dxa"/>
          </w:tcPr>
          <w:p w14:paraId="6928F041" w14:textId="77777777" w:rsidR="00D176F1" w:rsidRPr="00AE4BB7" w:rsidRDefault="00D176F1" w:rsidP="00F03AF8">
            <w:pPr>
              <w:rPr>
                <w:rFonts w:cs="Arial"/>
              </w:rPr>
            </w:pPr>
            <w:r w:rsidRPr="00AE4BB7">
              <w:rPr>
                <w:rFonts w:cs="Arial"/>
              </w:rPr>
              <w:t>Experience</w:t>
            </w:r>
          </w:p>
        </w:tc>
        <w:tc>
          <w:tcPr>
            <w:tcW w:w="2569" w:type="dxa"/>
          </w:tcPr>
          <w:p w14:paraId="6295E5A6" w14:textId="77777777" w:rsidR="00D176F1" w:rsidRDefault="00D176F1" w:rsidP="00D176F1">
            <w:pPr>
              <w:numPr>
                <w:ilvl w:val="0"/>
                <w:numId w:val="38"/>
              </w:numPr>
              <w:tabs>
                <w:tab w:val="clear" w:pos="720"/>
                <w:tab w:val="num" w:pos="309"/>
              </w:tabs>
              <w:ind w:left="309" w:hanging="284"/>
              <w:rPr>
                <w:rFonts w:cs="Arial"/>
              </w:rPr>
            </w:pPr>
            <w:r w:rsidRPr="008625CF">
              <w:rPr>
                <w:rFonts w:cs="Arial"/>
              </w:rPr>
              <w:t xml:space="preserve">Demonstrable </w:t>
            </w:r>
            <w:r>
              <w:rPr>
                <w:rFonts w:cs="Arial"/>
              </w:rPr>
              <w:t>experience of c</w:t>
            </w:r>
            <w:r w:rsidRPr="008625CF">
              <w:rPr>
                <w:rFonts w:cs="Arial"/>
              </w:rPr>
              <w:t xml:space="preserve">ommercial </w:t>
            </w:r>
            <w:r>
              <w:rPr>
                <w:rFonts w:cs="Arial"/>
              </w:rPr>
              <w:t>m</w:t>
            </w:r>
            <w:r w:rsidRPr="008625CF">
              <w:rPr>
                <w:rFonts w:cs="Arial"/>
              </w:rPr>
              <w:t>anagement in a multi-disciplined environment.</w:t>
            </w:r>
          </w:p>
          <w:p w14:paraId="2B97EAB2" w14:textId="77777777" w:rsidR="00D176F1" w:rsidRDefault="00D176F1" w:rsidP="00D176F1">
            <w:pPr>
              <w:numPr>
                <w:ilvl w:val="0"/>
                <w:numId w:val="38"/>
              </w:numPr>
              <w:tabs>
                <w:tab w:val="clear" w:pos="720"/>
                <w:tab w:val="num" w:pos="309"/>
              </w:tabs>
              <w:ind w:left="309" w:hanging="284"/>
              <w:rPr>
                <w:rFonts w:cs="Arial"/>
              </w:rPr>
            </w:pPr>
            <w:r w:rsidRPr="008625CF">
              <w:rPr>
                <w:rFonts w:cs="Arial"/>
              </w:rPr>
              <w:t>Demonstrable success in the handling of contract disputes, claims and risk mitigation</w:t>
            </w:r>
            <w:r w:rsidRPr="00AE4BB7">
              <w:rPr>
                <w:rFonts w:cs="Arial"/>
              </w:rPr>
              <w:t xml:space="preserve"> </w:t>
            </w:r>
          </w:p>
          <w:p w14:paraId="7E137CE3" w14:textId="77777777" w:rsidR="00D176F1" w:rsidRPr="008625CF" w:rsidRDefault="00D176F1" w:rsidP="00D176F1">
            <w:pPr>
              <w:numPr>
                <w:ilvl w:val="0"/>
                <w:numId w:val="38"/>
              </w:numPr>
              <w:tabs>
                <w:tab w:val="clear" w:pos="720"/>
                <w:tab w:val="num" w:pos="309"/>
              </w:tabs>
              <w:ind w:left="309" w:hanging="284"/>
              <w:rPr>
                <w:rFonts w:cs="Arial"/>
              </w:rPr>
            </w:pPr>
            <w:r>
              <w:rPr>
                <w:rFonts w:cs="Arial"/>
              </w:rPr>
              <w:t>Evidence of being</w:t>
            </w:r>
            <w:r w:rsidRPr="008625CF">
              <w:rPr>
                <w:rFonts w:cs="Arial"/>
              </w:rPr>
              <w:t xml:space="preserve"> able to identify and respond to contract and com</w:t>
            </w:r>
            <w:r>
              <w:rPr>
                <w:rFonts w:cs="Arial"/>
              </w:rPr>
              <w:t>mercial opportunities and risks</w:t>
            </w:r>
          </w:p>
          <w:p w14:paraId="4CAB0295" w14:textId="77777777" w:rsidR="00D176F1" w:rsidRPr="00AE4BB7" w:rsidRDefault="00D176F1" w:rsidP="00F03AF8">
            <w:pPr>
              <w:ind w:left="309"/>
              <w:rPr>
                <w:rFonts w:cs="Arial"/>
              </w:rPr>
            </w:pPr>
          </w:p>
        </w:tc>
        <w:tc>
          <w:tcPr>
            <w:tcW w:w="2569" w:type="dxa"/>
          </w:tcPr>
          <w:p w14:paraId="578EDA2E"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Internal and external partnership working</w:t>
            </w:r>
          </w:p>
          <w:p w14:paraId="1E54FE90"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Public</w:t>
            </w:r>
            <w:r>
              <w:rPr>
                <w:rFonts w:cs="Arial"/>
              </w:rPr>
              <w:t xml:space="preserve"> </w:t>
            </w:r>
            <w:r w:rsidRPr="00AE4BB7">
              <w:rPr>
                <w:rFonts w:cs="Arial"/>
              </w:rPr>
              <w:t>/</w:t>
            </w:r>
            <w:r>
              <w:rPr>
                <w:rFonts w:cs="Arial"/>
              </w:rPr>
              <w:t xml:space="preserve"> </w:t>
            </w:r>
            <w:r w:rsidRPr="00AE4BB7">
              <w:rPr>
                <w:rFonts w:cs="Arial"/>
              </w:rPr>
              <w:t>Private Funding</w:t>
            </w:r>
          </w:p>
          <w:p w14:paraId="3DB6AAB6" w14:textId="77777777" w:rsidR="00D176F1" w:rsidRDefault="00D176F1" w:rsidP="00D176F1">
            <w:pPr>
              <w:numPr>
                <w:ilvl w:val="0"/>
                <w:numId w:val="38"/>
              </w:numPr>
              <w:tabs>
                <w:tab w:val="clear" w:pos="720"/>
                <w:tab w:val="num" w:pos="309"/>
              </w:tabs>
              <w:ind w:left="309" w:hanging="284"/>
              <w:rPr>
                <w:rFonts w:cs="Arial"/>
              </w:rPr>
            </w:pPr>
            <w:r w:rsidRPr="00AE4BB7">
              <w:rPr>
                <w:rFonts w:cs="Arial"/>
              </w:rPr>
              <w:t>Programme / Project Management</w:t>
            </w:r>
          </w:p>
          <w:p w14:paraId="23BFDE23" w14:textId="77777777" w:rsidR="00D176F1" w:rsidRDefault="00D176F1" w:rsidP="00D176F1">
            <w:pPr>
              <w:numPr>
                <w:ilvl w:val="0"/>
                <w:numId w:val="38"/>
              </w:numPr>
              <w:tabs>
                <w:tab w:val="clear" w:pos="720"/>
                <w:tab w:val="num" w:pos="309"/>
              </w:tabs>
              <w:ind w:left="309" w:hanging="284"/>
              <w:rPr>
                <w:rFonts w:cs="Arial"/>
              </w:rPr>
            </w:pPr>
            <w:r>
              <w:rPr>
                <w:rFonts w:cs="Arial"/>
              </w:rPr>
              <w:t>Experience of risk management techniques</w:t>
            </w:r>
          </w:p>
          <w:p w14:paraId="12B9AC46" w14:textId="77777777" w:rsidR="00D176F1" w:rsidRPr="00E45D02" w:rsidRDefault="00D176F1" w:rsidP="00D176F1">
            <w:pPr>
              <w:numPr>
                <w:ilvl w:val="0"/>
                <w:numId w:val="38"/>
              </w:numPr>
              <w:tabs>
                <w:tab w:val="clear" w:pos="720"/>
                <w:tab w:val="num" w:pos="309"/>
              </w:tabs>
              <w:ind w:left="309" w:hanging="284"/>
              <w:rPr>
                <w:rFonts w:cs="Arial"/>
              </w:rPr>
            </w:pPr>
            <w:r w:rsidRPr="00E45D02">
              <w:rPr>
                <w:rFonts w:cs="Arial"/>
              </w:rPr>
              <w:t>Knowledge of Value Management techniques</w:t>
            </w:r>
          </w:p>
          <w:p w14:paraId="7812BECF" w14:textId="77777777" w:rsidR="00D176F1" w:rsidRPr="00AE4BB7" w:rsidRDefault="00D176F1" w:rsidP="00F03AF8">
            <w:pPr>
              <w:tabs>
                <w:tab w:val="num" w:pos="309"/>
              </w:tabs>
              <w:ind w:left="309" w:hanging="284"/>
              <w:rPr>
                <w:rFonts w:cs="Arial"/>
              </w:rPr>
            </w:pPr>
          </w:p>
        </w:tc>
        <w:tc>
          <w:tcPr>
            <w:tcW w:w="2570" w:type="dxa"/>
          </w:tcPr>
          <w:p w14:paraId="022F130C"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Application Form</w:t>
            </w:r>
          </w:p>
          <w:p w14:paraId="62FA72F9"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Selection Process</w:t>
            </w:r>
          </w:p>
          <w:p w14:paraId="3D199C77"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Pre-Employment Checks</w:t>
            </w:r>
          </w:p>
        </w:tc>
      </w:tr>
      <w:tr w:rsidR="00D176F1" w:rsidRPr="00AE4BB7" w14:paraId="4F4407D9" w14:textId="77777777" w:rsidTr="00F03AF8">
        <w:tc>
          <w:tcPr>
            <w:tcW w:w="2031" w:type="dxa"/>
          </w:tcPr>
          <w:p w14:paraId="4987A6ED" w14:textId="77777777" w:rsidR="00D176F1" w:rsidRPr="00AE4BB7" w:rsidRDefault="00D176F1" w:rsidP="00F03AF8">
            <w:pPr>
              <w:rPr>
                <w:rFonts w:cs="Arial"/>
              </w:rPr>
            </w:pPr>
            <w:r w:rsidRPr="00AE4BB7">
              <w:rPr>
                <w:rFonts w:cs="Arial"/>
              </w:rPr>
              <w:t>Skills/Knowledge</w:t>
            </w:r>
          </w:p>
        </w:tc>
        <w:tc>
          <w:tcPr>
            <w:tcW w:w="2569" w:type="dxa"/>
          </w:tcPr>
          <w:p w14:paraId="741BA39E" w14:textId="77777777" w:rsidR="00D176F1" w:rsidRDefault="00D176F1" w:rsidP="00D176F1">
            <w:pPr>
              <w:numPr>
                <w:ilvl w:val="0"/>
                <w:numId w:val="39"/>
              </w:numPr>
              <w:tabs>
                <w:tab w:val="clear" w:pos="720"/>
                <w:tab w:val="num" w:pos="309"/>
              </w:tabs>
              <w:ind w:left="309" w:hanging="284"/>
              <w:rPr>
                <w:rFonts w:cs="Arial"/>
              </w:rPr>
            </w:pPr>
            <w:r w:rsidRPr="008625CF">
              <w:rPr>
                <w:rFonts w:cs="Arial"/>
              </w:rPr>
              <w:t>Strong understanding of the full lifecycle of engineering projects</w:t>
            </w:r>
          </w:p>
          <w:p w14:paraId="6360D636" w14:textId="77777777" w:rsidR="00D176F1" w:rsidRDefault="00D176F1" w:rsidP="00D176F1">
            <w:pPr>
              <w:numPr>
                <w:ilvl w:val="0"/>
                <w:numId w:val="39"/>
              </w:numPr>
              <w:tabs>
                <w:tab w:val="clear" w:pos="720"/>
                <w:tab w:val="num" w:pos="309"/>
              </w:tabs>
              <w:ind w:left="309" w:hanging="284"/>
              <w:rPr>
                <w:rFonts w:cs="Arial"/>
              </w:rPr>
            </w:pPr>
            <w:r w:rsidRPr="008625CF">
              <w:rPr>
                <w:rFonts w:cs="Arial"/>
              </w:rPr>
              <w:t>Strong planning, prioritisation and organisational skills.</w:t>
            </w:r>
          </w:p>
          <w:p w14:paraId="1506D287" w14:textId="77777777" w:rsidR="00D176F1" w:rsidRPr="008625CF" w:rsidRDefault="00D176F1" w:rsidP="00D176F1">
            <w:pPr>
              <w:numPr>
                <w:ilvl w:val="0"/>
                <w:numId w:val="39"/>
              </w:numPr>
              <w:tabs>
                <w:tab w:val="clear" w:pos="720"/>
                <w:tab w:val="num" w:pos="309"/>
              </w:tabs>
              <w:ind w:left="309" w:hanging="284"/>
              <w:rPr>
                <w:rFonts w:cs="Arial"/>
              </w:rPr>
            </w:pPr>
            <w:r w:rsidRPr="008625CF">
              <w:rPr>
                <w:rFonts w:cs="Arial"/>
              </w:rPr>
              <w:lastRenderedPageBreak/>
              <w:t>Excellent verbal and written communication skills.</w:t>
            </w:r>
          </w:p>
          <w:p w14:paraId="41C730A7" w14:textId="77777777" w:rsidR="00D176F1" w:rsidRDefault="00D176F1" w:rsidP="00D176F1">
            <w:pPr>
              <w:numPr>
                <w:ilvl w:val="0"/>
                <w:numId w:val="39"/>
              </w:numPr>
              <w:tabs>
                <w:tab w:val="clear" w:pos="720"/>
                <w:tab w:val="num" w:pos="309"/>
              </w:tabs>
              <w:ind w:left="309" w:hanging="284"/>
              <w:rPr>
                <w:rFonts w:cs="Arial"/>
              </w:rPr>
            </w:pPr>
            <w:r w:rsidRPr="008625CF">
              <w:rPr>
                <w:rFonts w:cs="Arial"/>
              </w:rPr>
              <w:t>Excellent negotiation and influencing skills, with proven experience in successful internal and external stakeholder management</w:t>
            </w:r>
          </w:p>
          <w:p w14:paraId="11A24592"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Ability to prepare and present reports effectively to a range of audiences</w:t>
            </w:r>
          </w:p>
        </w:tc>
        <w:tc>
          <w:tcPr>
            <w:tcW w:w="2569" w:type="dxa"/>
          </w:tcPr>
          <w:p w14:paraId="1953AFC8" w14:textId="77777777" w:rsidR="00D176F1" w:rsidRDefault="00D176F1" w:rsidP="00D176F1">
            <w:pPr>
              <w:numPr>
                <w:ilvl w:val="0"/>
                <w:numId w:val="38"/>
              </w:numPr>
              <w:tabs>
                <w:tab w:val="clear" w:pos="720"/>
                <w:tab w:val="num" w:pos="309"/>
              </w:tabs>
              <w:ind w:left="309" w:hanging="284"/>
              <w:rPr>
                <w:rFonts w:cs="Arial"/>
              </w:rPr>
            </w:pPr>
            <w:r w:rsidRPr="00AE4BB7">
              <w:rPr>
                <w:rFonts w:cs="Arial"/>
              </w:rPr>
              <w:lastRenderedPageBreak/>
              <w:t>Change management skills</w:t>
            </w:r>
          </w:p>
          <w:p w14:paraId="3A8B58E8" w14:textId="77777777" w:rsidR="00D176F1" w:rsidRPr="008625CF" w:rsidRDefault="00D176F1" w:rsidP="00D176F1">
            <w:pPr>
              <w:numPr>
                <w:ilvl w:val="0"/>
                <w:numId w:val="38"/>
              </w:numPr>
              <w:tabs>
                <w:tab w:val="clear" w:pos="720"/>
                <w:tab w:val="num" w:pos="309"/>
              </w:tabs>
              <w:ind w:left="309" w:hanging="284"/>
              <w:rPr>
                <w:rFonts w:cs="Arial"/>
              </w:rPr>
            </w:pPr>
            <w:r w:rsidRPr="008625CF">
              <w:rPr>
                <w:rFonts w:cs="Arial"/>
              </w:rPr>
              <w:t>Understanding of NECA strategic direction, plus political and organisational awareness</w:t>
            </w:r>
          </w:p>
          <w:p w14:paraId="0EDEA08A" w14:textId="77777777" w:rsidR="00D176F1" w:rsidRPr="00AE4BB7" w:rsidRDefault="00D176F1" w:rsidP="00F03AF8">
            <w:pPr>
              <w:ind w:left="309"/>
              <w:rPr>
                <w:rFonts w:cs="Arial"/>
              </w:rPr>
            </w:pPr>
          </w:p>
          <w:p w14:paraId="0DC182F6" w14:textId="77777777" w:rsidR="00D176F1" w:rsidRPr="00AE4BB7" w:rsidRDefault="00D176F1" w:rsidP="00F03AF8">
            <w:pPr>
              <w:tabs>
                <w:tab w:val="num" w:pos="309"/>
              </w:tabs>
              <w:ind w:left="309" w:hanging="284"/>
              <w:rPr>
                <w:rFonts w:cs="Arial"/>
              </w:rPr>
            </w:pPr>
          </w:p>
        </w:tc>
        <w:tc>
          <w:tcPr>
            <w:tcW w:w="2570" w:type="dxa"/>
          </w:tcPr>
          <w:p w14:paraId="53C9CD04"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lastRenderedPageBreak/>
              <w:t>Application Form</w:t>
            </w:r>
          </w:p>
          <w:p w14:paraId="7FCAEE63"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Selection Process</w:t>
            </w:r>
          </w:p>
          <w:p w14:paraId="2728474C"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Pre-Employment Checks</w:t>
            </w:r>
          </w:p>
        </w:tc>
      </w:tr>
      <w:tr w:rsidR="00D176F1" w:rsidRPr="00AE4BB7" w14:paraId="61916926" w14:textId="77777777" w:rsidTr="00F03AF8">
        <w:tc>
          <w:tcPr>
            <w:tcW w:w="2031" w:type="dxa"/>
          </w:tcPr>
          <w:p w14:paraId="7FEDF67B" w14:textId="77777777" w:rsidR="00D176F1" w:rsidRPr="00AE4BB7" w:rsidRDefault="00D176F1" w:rsidP="00F03AF8">
            <w:pPr>
              <w:rPr>
                <w:rFonts w:cs="Arial"/>
              </w:rPr>
            </w:pPr>
            <w:r w:rsidRPr="00AE4BB7">
              <w:rPr>
                <w:rFonts w:cs="Arial"/>
              </w:rPr>
              <w:t>Personal Qualities</w:t>
            </w:r>
          </w:p>
        </w:tc>
        <w:tc>
          <w:tcPr>
            <w:tcW w:w="2569" w:type="dxa"/>
          </w:tcPr>
          <w:p w14:paraId="6715C70A"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Supportive and encouraging in a team environment</w:t>
            </w:r>
          </w:p>
          <w:p w14:paraId="4981BC4C"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Enthusiastic, self-motivated</w:t>
            </w:r>
          </w:p>
          <w:p w14:paraId="11219E82"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Pleasant manner when dealing with colleagues and customers</w:t>
            </w:r>
          </w:p>
          <w:p w14:paraId="51CA8E1C"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Tactful, discreet</w:t>
            </w:r>
          </w:p>
          <w:p w14:paraId="62BA9A71"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Flexible approach</w:t>
            </w:r>
          </w:p>
          <w:p w14:paraId="2BC3CBD3"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Ability to achieve targets and outcomes</w:t>
            </w:r>
          </w:p>
          <w:p w14:paraId="116F3147"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Energy, drive and commitment to the job</w:t>
            </w:r>
          </w:p>
          <w:p w14:paraId="71C2192D" w14:textId="77777777" w:rsidR="00D176F1" w:rsidRDefault="00D176F1" w:rsidP="00D176F1">
            <w:pPr>
              <w:numPr>
                <w:ilvl w:val="0"/>
                <w:numId w:val="39"/>
              </w:numPr>
              <w:tabs>
                <w:tab w:val="clear" w:pos="720"/>
                <w:tab w:val="num" w:pos="309"/>
              </w:tabs>
              <w:ind w:left="309" w:hanging="284"/>
              <w:rPr>
                <w:rFonts w:cs="Arial"/>
              </w:rPr>
            </w:pPr>
            <w:r w:rsidRPr="00AE4BB7">
              <w:rPr>
                <w:rFonts w:cs="Arial"/>
              </w:rPr>
              <w:t xml:space="preserve">May be required to work outside of normal hours / additional hours where necessary </w:t>
            </w:r>
          </w:p>
          <w:p w14:paraId="3E4CCFE1" w14:textId="77777777" w:rsidR="00D176F1" w:rsidRPr="00E7347D" w:rsidRDefault="00D176F1" w:rsidP="00D176F1">
            <w:pPr>
              <w:numPr>
                <w:ilvl w:val="0"/>
                <w:numId w:val="39"/>
              </w:numPr>
              <w:tabs>
                <w:tab w:val="clear" w:pos="720"/>
                <w:tab w:val="num" w:pos="309"/>
              </w:tabs>
              <w:ind w:left="309" w:hanging="284"/>
              <w:rPr>
                <w:rFonts w:cs="Arial"/>
              </w:rPr>
            </w:pPr>
            <w:r w:rsidRPr="00AE4BB7">
              <w:rPr>
                <w:rFonts w:cs="Arial"/>
              </w:rPr>
              <w:t xml:space="preserve">Resilient </w:t>
            </w:r>
          </w:p>
        </w:tc>
        <w:tc>
          <w:tcPr>
            <w:tcW w:w="2569" w:type="dxa"/>
          </w:tcPr>
          <w:p w14:paraId="23CFC062" w14:textId="77777777" w:rsidR="00D176F1" w:rsidRPr="00AE4BB7" w:rsidRDefault="00D176F1" w:rsidP="00D176F1">
            <w:pPr>
              <w:numPr>
                <w:ilvl w:val="0"/>
                <w:numId w:val="39"/>
              </w:numPr>
              <w:tabs>
                <w:tab w:val="clear" w:pos="720"/>
                <w:tab w:val="num" w:pos="309"/>
              </w:tabs>
              <w:ind w:left="309" w:hanging="284"/>
              <w:rPr>
                <w:rFonts w:cs="Arial"/>
              </w:rPr>
            </w:pPr>
            <w:r w:rsidRPr="00AE4BB7">
              <w:rPr>
                <w:rFonts w:cs="Arial"/>
              </w:rPr>
              <w:t>Access to a car or means of mobility support (if driving then must have a current driving licence and appropriate insurance).</w:t>
            </w:r>
          </w:p>
          <w:p w14:paraId="74143AAD" w14:textId="77777777" w:rsidR="00D176F1" w:rsidRPr="00AE4BB7" w:rsidRDefault="00D176F1" w:rsidP="00F03AF8">
            <w:pPr>
              <w:tabs>
                <w:tab w:val="num" w:pos="309"/>
              </w:tabs>
              <w:ind w:left="309" w:hanging="284"/>
              <w:rPr>
                <w:rFonts w:cs="Arial"/>
              </w:rPr>
            </w:pPr>
          </w:p>
        </w:tc>
        <w:tc>
          <w:tcPr>
            <w:tcW w:w="2570" w:type="dxa"/>
          </w:tcPr>
          <w:p w14:paraId="471BFF33"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Application Form</w:t>
            </w:r>
          </w:p>
          <w:p w14:paraId="181A2737"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Selection Process</w:t>
            </w:r>
          </w:p>
          <w:p w14:paraId="3E5F1ABC" w14:textId="77777777" w:rsidR="00D176F1" w:rsidRPr="00AE4BB7" w:rsidRDefault="00D176F1" w:rsidP="00D176F1">
            <w:pPr>
              <w:numPr>
                <w:ilvl w:val="0"/>
                <w:numId w:val="38"/>
              </w:numPr>
              <w:tabs>
                <w:tab w:val="clear" w:pos="720"/>
                <w:tab w:val="num" w:pos="309"/>
              </w:tabs>
              <w:ind w:left="309" w:hanging="284"/>
              <w:rPr>
                <w:rFonts w:cs="Arial"/>
              </w:rPr>
            </w:pPr>
            <w:r w:rsidRPr="00AE4BB7">
              <w:rPr>
                <w:rFonts w:cs="Arial"/>
              </w:rPr>
              <w:t>Pre-Employment Checks</w:t>
            </w:r>
          </w:p>
        </w:tc>
      </w:tr>
    </w:tbl>
    <w:p w14:paraId="227BC241" w14:textId="77777777" w:rsidR="00D176F1" w:rsidRPr="00AE4BB7" w:rsidRDefault="00D176F1" w:rsidP="00D176F1">
      <w:pPr>
        <w:rPr>
          <w:rFonts w:cs="Arial"/>
        </w:rPr>
      </w:pPr>
    </w:p>
    <w:p w14:paraId="00D7FD3A" w14:textId="77777777" w:rsidR="00D176F1" w:rsidRPr="00AE4BB7" w:rsidRDefault="00D176F1" w:rsidP="00D176F1">
      <w:pPr>
        <w:rPr>
          <w:rFonts w:cs="Arial"/>
        </w:rPr>
      </w:pPr>
    </w:p>
    <w:p w14:paraId="791A43BA" w14:textId="77777777" w:rsidR="00D176F1" w:rsidRPr="00E01847" w:rsidRDefault="00D176F1" w:rsidP="00D176F1">
      <w:pPr>
        <w:rPr>
          <w:rFonts w:cs="Arial"/>
          <w:color w:val="FF0000"/>
        </w:rPr>
      </w:pPr>
    </w:p>
    <w:p w14:paraId="6950C63C" w14:textId="77777777" w:rsidR="00D176F1" w:rsidRPr="00D176F1" w:rsidRDefault="00D176F1" w:rsidP="00B55B8D">
      <w:pPr>
        <w:rPr>
          <w:rFonts w:cs="Arial"/>
        </w:rPr>
      </w:pPr>
    </w:p>
    <w:sectPr w:rsidR="00D176F1" w:rsidRPr="00D176F1" w:rsidSect="008B1FF4">
      <w:headerReference w:type="default" r:id="rId13"/>
      <w:footerReference w:type="default" r:id="rId14"/>
      <w:headerReference w:type="first" r:id="rId15"/>
      <w:pgSz w:w="11909" w:h="16834"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695D" w14:textId="77777777" w:rsidR="00D74BD8" w:rsidRDefault="00D74BD8" w:rsidP="00CE6AA2">
      <w:r>
        <w:separator/>
      </w:r>
    </w:p>
  </w:endnote>
  <w:endnote w:type="continuationSeparator" w:id="0">
    <w:p w14:paraId="2D0AEAD6" w14:textId="77777777" w:rsidR="00D74BD8" w:rsidRDefault="00D74BD8" w:rsidP="00C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3678" w14:textId="77777777" w:rsidR="00D176F1" w:rsidRDefault="00D176F1"/>
  <w:p w14:paraId="0027A7BD" w14:textId="77777777" w:rsidR="00D176F1" w:rsidRDefault="00D176F1" w:rsidP="00B10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C308" w14:textId="77777777" w:rsidR="002E74F1" w:rsidRPr="00294E15" w:rsidRDefault="002E74F1" w:rsidP="00294E1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D845" w14:textId="77777777" w:rsidR="00D74BD8" w:rsidRDefault="00D74BD8" w:rsidP="00CE6AA2">
      <w:r>
        <w:separator/>
      </w:r>
    </w:p>
  </w:footnote>
  <w:footnote w:type="continuationSeparator" w:id="0">
    <w:p w14:paraId="0F74F2F7" w14:textId="77777777" w:rsidR="00D74BD8" w:rsidRDefault="00D74BD8" w:rsidP="00CE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CB77" w14:textId="77777777" w:rsidR="002E74F1" w:rsidRDefault="002E74F1" w:rsidP="003F0427">
    <w:pPr>
      <w:pStyle w:val="Header"/>
      <w:rPr>
        <w:rFonts w:cs="Arial"/>
        <w:b/>
        <w:sz w:val="32"/>
        <w:szCs w:val="32"/>
      </w:rPr>
    </w:pPr>
  </w:p>
  <w:p w14:paraId="0D9B65D5" w14:textId="77777777" w:rsidR="002E74F1" w:rsidRPr="003F0427" w:rsidRDefault="002E74F1" w:rsidP="003F0427">
    <w:pPr>
      <w:pStyle w:val="Header"/>
      <w:rPr>
        <w:rFonts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19"/>
    </w:tblGrid>
    <w:tr w:rsidR="00BF4473" w:rsidRPr="002348EA" w14:paraId="6DDED703" w14:textId="77777777" w:rsidTr="00152FFD">
      <w:trPr>
        <w:trHeight w:val="1702"/>
      </w:trPr>
      <w:tc>
        <w:tcPr>
          <w:tcW w:w="4820" w:type="dxa"/>
          <w:hideMark/>
        </w:tcPr>
        <w:p w14:paraId="67A5DECD" w14:textId="77777777" w:rsidR="00D338E1" w:rsidRPr="002348EA" w:rsidRDefault="00BF4473" w:rsidP="00D338E1">
          <w:pPr>
            <w:tabs>
              <w:tab w:val="center" w:pos="4464"/>
              <w:tab w:val="right" w:pos="8928"/>
            </w:tabs>
            <w:jc w:val="center"/>
          </w:pPr>
          <w:r>
            <w:rPr>
              <w:rFonts w:cs="Arial"/>
              <w:noProof/>
              <w:lang w:eastAsia="en-GB"/>
            </w:rPr>
            <w:drawing>
              <wp:inline distT="0" distB="0" distL="0" distR="0" wp14:anchorId="0E274B35" wp14:editId="147CD9D8">
                <wp:extent cx="2345094" cy="1051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A logo.jpg"/>
                        <pic:cNvPicPr/>
                      </pic:nvPicPr>
                      <pic:blipFill>
                        <a:blip r:embed="rId1">
                          <a:extLst>
                            <a:ext uri="{28A0092B-C50C-407E-A947-70E740481C1C}">
                              <a14:useLocalDpi xmlns:a14="http://schemas.microsoft.com/office/drawing/2010/main" val="0"/>
                            </a:ext>
                          </a:extLst>
                        </a:blip>
                        <a:stretch>
                          <a:fillRect/>
                        </a:stretch>
                      </pic:blipFill>
                      <pic:spPr>
                        <a:xfrm>
                          <a:off x="0" y="0"/>
                          <a:ext cx="2405553" cy="1078538"/>
                        </a:xfrm>
                        <a:prstGeom prst="rect">
                          <a:avLst/>
                        </a:prstGeom>
                      </pic:spPr>
                    </pic:pic>
                  </a:graphicData>
                </a:graphic>
              </wp:inline>
            </w:drawing>
          </w:r>
        </w:p>
      </w:tc>
      <w:tc>
        <w:tcPr>
          <w:tcW w:w="4919" w:type="dxa"/>
          <w:hideMark/>
        </w:tcPr>
        <w:p w14:paraId="616153F5" w14:textId="77777777" w:rsidR="00D338E1" w:rsidRPr="002348EA" w:rsidRDefault="00D338E1" w:rsidP="00D338E1">
          <w:pPr>
            <w:tabs>
              <w:tab w:val="center" w:pos="4464"/>
              <w:tab w:val="right" w:pos="8928"/>
            </w:tabs>
            <w:jc w:val="center"/>
          </w:pPr>
          <w:r w:rsidRPr="002348EA">
            <w:t xml:space="preserve">  </w:t>
          </w:r>
          <w:r w:rsidRPr="002348EA">
            <w:rPr>
              <w:noProof/>
              <w:lang w:eastAsia="en-GB"/>
            </w:rPr>
            <w:drawing>
              <wp:inline distT="0" distB="0" distL="0" distR="0" wp14:anchorId="14BDDFAE" wp14:editId="533AD021">
                <wp:extent cx="1127760" cy="10668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1066800"/>
                        </a:xfrm>
                        <a:prstGeom prst="rect">
                          <a:avLst/>
                        </a:prstGeom>
                        <a:noFill/>
                        <a:ln>
                          <a:noFill/>
                        </a:ln>
                      </pic:spPr>
                    </pic:pic>
                  </a:graphicData>
                </a:graphic>
              </wp:inline>
            </w:drawing>
          </w:r>
        </w:p>
      </w:tc>
    </w:tr>
    <w:tr w:rsidR="00D338E1" w:rsidRPr="002348EA" w14:paraId="1C017023" w14:textId="77777777" w:rsidTr="00152FFD">
      <w:tc>
        <w:tcPr>
          <w:tcW w:w="9739" w:type="dxa"/>
          <w:gridSpan w:val="2"/>
          <w:tcBorders>
            <w:top w:val="nil"/>
            <w:left w:val="nil"/>
            <w:bottom w:val="single" w:sz="4" w:space="0" w:color="auto"/>
            <w:right w:val="nil"/>
          </w:tcBorders>
          <w:hideMark/>
        </w:tcPr>
        <w:p w14:paraId="18EB7558" w14:textId="77777777" w:rsidR="00D338E1" w:rsidRPr="002348EA" w:rsidRDefault="00D338E1" w:rsidP="00D338E1">
          <w:pPr>
            <w:tabs>
              <w:tab w:val="center" w:pos="4464"/>
              <w:tab w:val="right" w:pos="8928"/>
            </w:tabs>
            <w:spacing w:before="240" w:after="240"/>
            <w:jc w:val="center"/>
            <w:rPr>
              <w:b/>
              <w:sz w:val="40"/>
              <w:szCs w:val="40"/>
            </w:rPr>
          </w:pPr>
          <w:r w:rsidRPr="002348EA">
            <w:rPr>
              <w:b/>
              <w:sz w:val="40"/>
              <w:szCs w:val="40"/>
            </w:rPr>
            <w:t>North East Joint Transport Committee</w:t>
          </w:r>
        </w:p>
      </w:tc>
    </w:tr>
  </w:tbl>
  <w:p w14:paraId="7E37A6E8" w14:textId="77777777" w:rsidR="002E74F1" w:rsidRDefault="002E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194"/>
    <w:multiLevelType w:val="hybridMultilevel"/>
    <w:tmpl w:val="78AA8434"/>
    <w:lvl w:ilvl="0" w:tplc="F1BE93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5128"/>
    <w:multiLevelType w:val="hybridMultilevel"/>
    <w:tmpl w:val="6606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860B6"/>
    <w:multiLevelType w:val="hybridMultilevel"/>
    <w:tmpl w:val="C8620DF8"/>
    <w:lvl w:ilvl="0" w:tplc="DEBC9630">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C7AFB"/>
    <w:multiLevelType w:val="hybridMultilevel"/>
    <w:tmpl w:val="9CA4E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F7C63"/>
    <w:multiLevelType w:val="hybridMultilevel"/>
    <w:tmpl w:val="8FC63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42AED"/>
    <w:multiLevelType w:val="hybridMultilevel"/>
    <w:tmpl w:val="DF94D9AC"/>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28F36D4"/>
    <w:multiLevelType w:val="hybridMultilevel"/>
    <w:tmpl w:val="8C6A1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785356"/>
    <w:multiLevelType w:val="hybridMultilevel"/>
    <w:tmpl w:val="4198B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25CB2"/>
    <w:multiLevelType w:val="hybridMultilevel"/>
    <w:tmpl w:val="D88E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842"/>
    <w:multiLevelType w:val="hybridMultilevel"/>
    <w:tmpl w:val="C5EED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914"/>
    <w:multiLevelType w:val="hybridMultilevel"/>
    <w:tmpl w:val="924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874A5"/>
    <w:multiLevelType w:val="hybridMultilevel"/>
    <w:tmpl w:val="437A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B7860"/>
    <w:multiLevelType w:val="multilevel"/>
    <w:tmpl w:val="75CC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4181D"/>
    <w:multiLevelType w:val="hybridMultilevel"/>
    <w:tmpl w:val="9DAA2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56CB8"/>
    <w:multiLevelType w:val="hybridMultilevel"/>
    <w:tmpl w:val="1A6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51EC3"/>
    <w:multiLevelType w:val="hybridMultilevel"/>
    <w:tmpl w:val="6918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E2900"/>
    <w:multiLevelType w:val="hybridMultilevel"/>
    <w:tmpl w:val="70E6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A686D"/>
    <w:multiLevelType w:val="hybridMultilevel"/>
    <w:tmpl w:val="D48ED0B8"/>
    <w:lvl w:ilvl="0" w:tplc="08090001">
      <w:start w:val="19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E2134"/>
    <w:multiLevelType w:val="hybridMultilevel"/>
    <w:tmpl w:val="F00EC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087DB6"/>
    <w:multiLevelType w:val="hybridMultilevel"/>
    <w:tmpl w:val="1936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E0784"/>
    <w:multiLevelType w:val="hybridMultilevel"/>
    <w:tmpl w:val="0D1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437E4"/>
    <w:multiLevelType w:val="hybridMultilevel"/>
    <w:tmpl w:val="E92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659B9"/>
    <w:multiLevelType w:val="hybridMultilevel"/>
    <w:tmpl w:val="CB2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56D5F"/>
    <w:multiLevelType w:val="multilevel"/>
    <w:tmpl w:val="2C8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5" w15:restartNumberingAfterBreak="0">
    <w:nsid w:val="46C24FD0"/>
    <w:multiLevelType w:val="hybridMultilevel"/>
    <w:tmpl w:val="D09EB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8DF529D"/>
    <w:multiLevelType w:val="hybridMultilevel"/>
    <w:tmpl w:val="46D6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D2070"/>
    <w:multiLevelType w:val="hybridMultilevel"/>
    <w:tmpl w:val="3172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B1781"/>
    <w:multiLevelType w:val="hybridMultilevel"/>
    <w:tmpl w:val="CDA23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B792F"/>
    <w:multiLevelType w:val="hybridMultilevel"/>
    <w:tmpl w:val="8820C0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5F2C43"/>
    <w:multiLevelType w:val="hybridMultilevel"/>
    <w:tmpl w:val="271CC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B0332"/>
    <w:multiLevelType w:val="hybridMultilevel"/>
    <w:tmpl w:val="8CA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242D"/>
    <w:multiLevelType w:val="hybridMultilevel"/>
    <w:tmpl w:val="1B7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34983"/>
    <w:multiLevelType w:val="hybridMultilevel"/>
    <w:tmpl w:val="F1504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32430A"/>
    <w:multiLevelType w:val="hybridMultilevel"/>
    <w:tmpl w:val="0E34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E449E"/>
    <w:multiLevelType w:val="hybridMultilevel"/>
    <w:tmpl w:val="5846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E29E1"/>
    <w:multiLevelType w:val="hybridMultilevel"/>
    <w:tmpl w:val="7A58143A"/>
    <w:lvl w:ilvl="0" w:tplc="56207D8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9D3FA3"/>
    <w:multiLevelType w:val="hybridMultilevel"/>
    <w:tmpl w:val="01764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3"/>
  </w:num>
  <w:num w:numId="4">
    <w:abstractNumId w:val="16"/>
  </w:num>
  <w:num w:numId="5">
    <w:abstractNumId w:val="12"/>
  </w:num>
  <w:num w:numId="6">
    <w:abstractNumId w:val="33"/>
  </w:num>
  <w:num w:numId="7">
    <w:abstractNumId w:val="28"/>
  </w:num>
  <w:num w:numId="8">
    <w:abstractNumId w:val="17"/>
  </w:num>
  <w:num w:numId="9">
    <w:abstractNumId w:val="22"/>
  </w:num>
  <w:num w:numId="10">
    <w:abstractNumId w:val="29"/>
  </w:num>
  <w:num w:numId="11">
    <w:abstractNumId w:val="31"/>
  </w:num>
  <w:num w:numId="12">
    <w:abstractNumId w:val="14"/>
  </w:num>
  <w:num w:numId="13">
    <w:abstractNumId w:val="15"/>
  </w:num>
  <w:num w:numId="14">
    <w:abstractNumId w:val="36"/>
  </w:num>
  <w:num w:numId="15">
    <w:abstractNumId w:val="11"/>
  </w:num>
  <w:num w:numId="16">
    <w:abstractNumId w:val="20"/>
  </w:num>
  <w:num w:numId="17">
    <w:abstractNumId w:val="10"/>
  </w:num>
  <w:num w:numId="18">
    <w:abstractNumId w:val="6"/>
  </w:num>
  <w:num w:numId="19">
    <w:abstractNumId w:val="35"/>
  </w:num>
  <w:num w:numId="20">
    <w:abstractNumId w:val="19"/>
  </w:num>
  <w:num w:numId="21">
    <w:abstractNumId w:val="26"/>
  </w:num>
  <w:num w:numId="22">
    <w:abstractNumId w:val="21"/>
  </w:num>
  <w:num w:numId="23">
    <w:abstractNumId w:val="3"/>
  </w:num>
  <w:num w:numId="24">
    <w:abstractNumId w:val="8"/>
  </w:num>
  <w:num w:numId="25">
    <w:abstractNumId w:val="1"/>
  </w:num>
  <w:num w:numId="26">
    <w:abstractNumId w:val="32"/>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7"/>
  </w:num>
  <w:num w:numId="31">
    <w:abstractNumId w:val="37"/>
  </w:num>
  <w:num w:numId="32">
    <w:abstractNumId w:val="25"/>
  </w:num>
  <w:num w:numId="33">
    <w:abstractNumId w:val="27"/>
  </w:num>
  <w:num w:numId="34">
    <w:abstractNumId w:val="4"/>
  </w:num>
  <w:num w:numId="35">
    <w:abstractNumId w:val="0"/>
  </w:num>
  <w:num w:numId="36">
    <w:abstractNumId w:val="24"/>
  </w:num>
  <w:num w:numId="37">
    <w:abstractNumId w:val="5"/>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5C"/>
    <w:rsid w:val="00001B49"/>
    <w:rsid w:val="0000281D"/>
    <w:rsid w:val="00002D31"/>
    <w:rsid w:val="000031E9"/>
    <w:rsid w:val="00004A5C"/>
    <w:rsid w:val="000056BC"/>
    <w:rsid w:val="000057F6"/>
    <w:rsid w:val="00006843"/>
    <w:rsid w:val="00007D45"/>
    <w:rsid w:val="00011655"/>
    <w:rsid w:val="000119DE"/>
    <w:rsid w:val="000128B9"/>
    <w:rsid w:val="000146D6"/>
    <w:rsid w:val="00015464"/>
    <w:rsid w:val="000168CC"/>
    <w:rsid w:val="0001792D"/>
    <w:rsid w:val="00025FF9"/>
    <w:rsid w:val="00026D0E"/>
    <w:rsid w:val="000321B4"/>
    <w:rsid w:val="00033FD7"/>
    <w:rsid w:val="00034371"/>
    <w:rsid w:val="00041A37"/>
    <w:rsid w:val="00042442"/>
    <w:rsid w:val="0004578A"/>
    <w:rsid w:val="000461C5"/>
    <w:rsid w:val="00046E1C"/>
    <w:rsid w:val="0004779B"/>
    <w:rsid w:val="0005290D"/>
    <w:rsid w:val="000543D3"/>
    <w:rsid w:val="00054A75"/>
    <w:rsid w:val="0005582B"/>
    <w:rsid w:val="00061EA5"/>
    <w:rsid w:val="000639E5"/>
    <w:rsid w:val="000678B6"/>
    <w:rsid w:val="0007304D"/>
    <w:rsid w:val="00074444"/>
    <w:rsid w:val="00080687"/>
    <w:rsid w:val="00083665"/>
    <w:rsid w:val="000844DE"/>
    <w:rsid w:val="00084E27"/>
    <w:rsid w:val="00085136"/>
    <w:rsid w:val="00085984"/>
    <w:rsid w:val="00090231"/>
    <w:rsid w:val="0009045B"/>
    <w:rsid w:val="000951E2"/>
    <w:rsid w:val="00095D27"/>
    <w:rsid w:val="00097125"/>
    <w:rsid w:val="000A2107"/>
    <w:rsid w:val="000A4527"/>
    <w:rsid w:val="000A621D"/>
    <w:rsid w:val="000B0028"/>
    <w:rsid w:val="000B3AB0"/>
    <w:rsid w:val="000B557D"/>
    <w:rsid w:val="000B5F4E"/>
    <w:rsid w:val="000C2839"/>
    <w:rsid w:val="000C2DC2"/>
    <w:rsid w:val="000C70C3"/>
    <w:rsid w:val="000D03F8"/>
    <w:rsid w:val="000D372F"/>
    <w:rsid w:val="000D3B09"/>
    <w:rsid w:val="000D53CB"/>
    <w:rsid w:val="000D6620"/>
    <w:rsid w:val="000E0924"/>
    <w:rsid w:val="000E2470"/>
    <w:rsid w:val="000E2BD6"/>
    <w:rsid w:val="000E37F0"/>
    <w:rsid w:val="000E39BB"/>
    <w:rsid w:val="000E5DA6"/>
    <w:rsid w:val="000E65F8"/>
    <w:rsid w:val="000E667F"/>
    <w:rsid w:val="000F04AD"/>
    <w:rsid w:val="000F59F6"/>
    <w:rsid w:val="0010027F"/>
    <w:rsid w:val="00101AFB"/>
    <w:rsid w:val="00102295"/>
    <w:rsid w:val="00105C36"/>
    <w:rsid w:val="00106384"/>
    <w:rsid w:val="001100C8"/>
    <w:rsid w:val="001123C0"/>
    <w:rsid w:val="00114020"/>
    <w:rsid w:val="00114A7E"/>
    <w:rsid w:val="001176AE"/>
    <w:rsid w:val="00123A84"/>
    <w:rsid w:val="00124A97"/>
    <w:rsid w:val="00131CDC"/>
    <w:rsid w:val="00132DB3"/>
    <w:rsid w:val="00135577"/>
    <w:rsid w:val="00156B25"/>
    <w:rsid w:val="0015753B"/>
    <w:rsid w:val="001575C6"/>
    <w:rsid w:val="00157A41"/>
    <w:rsid w:val="00160426"/>
    <w:rsid w:val="0017331D"/>
    <w:rsid w:val="001738E7"/>
    <w:rsid w:val="00190A61"/>
    <w:rsid w:val="00192467"/>
    <w:rsid w:val="0019349D"/>
    <w:rsid w:val="001A1ECA"/>
    <w:rsid w:val="001A766B"/>
    <w:rsid w:val="001A78A9"/>
    <w:rsid w:val="001B029E"/>
    <w:rsid w:val="001B0700"/>
    <w:rsid w:val="001B0EE9"/>
    <w:rsid w:val="001B1334"/>
    <w:rsid w:val="001B462B"/>
    <w:rsid w:val="001B4B00"/>
    <w:rsid w:val="001B4E31"/>
    <w:rsid w:val="001B749B"/>
    <w:rsid w:val="001C0700"/>
    <w:rsid w:val="001C5C12"/>
    <w:rsid w:val="001C68C3"/>
    <w:rsid w:val="001D54C5"/>
    <w:rsid w:val="001D6E00"/>
    <w:rsid w:val="001D7BED"/>
    <w:rsid w:val="001E24C9"/>
    <w:rsid w:val="001E2D15"/>
    <w:rsid w:val="001E795E"/>
    <w:rsid w:val="001F149E"/>
    <w:rsid w:val="001F65F5"/>
    <w:rsid w:val="002003E1"/>
    <w:rsid w:val="0020167D"/>
    <w:rsid w:val="00201EB4"/>
    <w:rsid w:val="00203C94"/>
    <w:rsid w:val="002049A7"/>
    <w:rsid w:val="002052D5"/>
    <w:rsid w:val="00206E1B"/>
    <w:rsid w:val="00212A08"/>
    <w:rsid w:val="002130AE"/>
    <w:rsid w:val="00215C49"/>
    <w:rsid w:val="00216178"/>
    <w:rsid w:val="00221B34"/>
    <w:rsid w:val="002224F6"/>
    <w:rsid w:val="002263FB"/>
    <w:rsid w:val="002309B8"/>
    <w:rsid w:val="00234626"/>
    <w:rsid w:val="002378E2"/>
    <w:rsid w:val="00241F06"/>
    <w:rsid w:val="00247D5F"/>
    <w:rsid w:val="00257C76"/>
    <w:rsid w:val="0026444F"/>
    <w:rsid w:val="00264D47"/>
    <w:rsid w:val="0026532B"/>
    <w:rsid w:val="00267C61"/>
    <w:rsid w:val="002714AC"/>
    <w:rsid w:val="00273CAB"/>
    <w:rsid w:val="0027400F"/>
    <w:rsid w:val="00274301"/>
    <w:rsid w:val="00281166"/>
    <w:rsid w:val="0028197F"/>
    <w:rsid w:val="00282867"/>
    <w:rsid w:val="00282A68"/>
    <w:rsid w:val="002872F7"/>
    <w:rsid w:val="002902AB"/>
    <w:rsid w:val="00291764"/>
    <w:rsid w:val="00293C96"/>
    <w:rsid w:val="00294138"/>
    <w:rsid w:val="00294E15"/>
    <w:rsid w:val="002959B9"/>
    <w:rsid w:val="002A37CD"/>
    <w:rsid w:val="002A4876"/>
    <w:rsid w:val="002A4EAB"/>
    <w:rsid w:val="002B05E2"/>
    <w:rsid w:val="002B1E45"/>
    <w:rsid w:val="002B2D42"/>
    <w:rsid w:val="002B2F63"/>
    <w:rsid w:val="002C0311"/>
    <w:rsid w:val="002C1182"/>
    <w:rsid w:val="002C3265"/>
    <w:rsid w:val="002C4242"/>
    <w:rsid w:val="002C4FC0"/>
    <w:rsid w:val="002D030C"/>
    <w:rsid w:val="002E087E"/>
    <w:rsid w:val="002E2328"/>
    <w:rsid w:val="002E5A3B"/>
    <w:rsid w:val="002E6095"/>
    <w:rsid w:val="002E6C4E"/>
    <w:rsid w:val="002E74F1"/>
    <w:rsid w:val="002F0DD1"/>
    <w:rsid w:val="002F2CEF"/>
    <w:rsid w:val="002F5426"/>
    <w:rsid w:val="00305658"/>
    <w:rsid w:val="00305A80"/>
    <w:rsid w:val="00310C51"/>
    <w:rsid w:val="003153C4"/>
    <w:rsid w:val="00324A19"/>
    <w:rsid w:val="00325CCF"/>
    <w:rsid w:val="00331C8F"/>
    <w:rsid w:val="00345E9E"/>
    <w:rsid w:val="00346BEB"/>
    <w:rsid w:val="00351C66"/>
    <w:rsid w:val="003536E1"/>
    <w:rsid w:val="003536FE"/>
    <w:rsid w:val="00353939"/>
    <w:rsid w:val="0035487B"/>
    <w:rsid w:val="00356169"/>
    <w:rsid w:val="003574AE"/>
    <w:rsid w:val="00357669"/>
    <w:rsid w:val="00357DC7"/>
    <w:rsid w:val="00362BEE"/>
    <w:rsid w:val="00371E2B"/>
    <w:rsid w:val="00374D74"/>
    <w:rsid w:val="00380A05"/>
    <w:rsid w:val="00384A75"/>
    <w:rsid w:val="00387A2F"/>
    <w:rsid w:val="00390474"/>
    <w:rsid w:val="00390B0C"/>
    <w:rsid w:val="003912F9"/>
    <w:rsid w:val="00391D92"/>
    <w:rsid w:val="0039288C"/>
    <w:rsid w:val="00393A94"/>
    <w:rsid w:val="003A226E"/>
    <w:rsid w:val="003A2EF1"/>
    <w:rsid w:val="003A4340"/>
    <w:rsid w:val="003B0527"/>
    <w:rsid w:val="003B082D"/>
    <w:rsid w:val="003B38F6"/>
    <w:rsid w:val="003B42C1"/>
    <w:rsid w:val="003B5FF6"/>
    <w:rsid w:val="003C2F69"/>
    <w:rsid w:val="003C4597"/>
    <w:rsid w:val="003C4928"/>
    <w:rsid w:val="003D2929"/>
    <w:rsid w:val="003F01D4"/>
    <w:rsid w:val="003F0427"/>
    <w:rsid w:val="003F3D22"/>
    <w:rsid w:val="00400453"/>
    <w:rsid w:val="00400787"/>
    <w:rsid w:val="00403E4B"/>
    <w:rsid w:val="00406CC5"/>
    <w:rsid w:val="004144A9"/>
    <w:rsid w:val="00415EEB"/>
    <w:rsid w:val="004226D0"/>
    <w:rsid w:val="00422771"/>
    <w:rsid w:val="00422C56"/>
    <w:rsid w:val="00425600"/>
    <w:rsid w:val="00425832"/>
    <w:rsid w:val="00427D4F"/>
    <w:rsid w:val="00430A58"/>
    <w:rsid w:val="0043265F"/>
    <w:rsid w:val="004329FD"/>
    <w:rsid w:val="00432A39"/>
    <w:rsid w:val="004341DA"/>
    <w:rsid w:val="004467B4"/>
    <w:rsid w:val="00450CCE"/>
    <w:rsid w:val="00450E37"/>
    <w:rsid w:val="0045475C"/>
    <w:rsid w:val="00461473"/>
    <w:rsid w:val="00462372"/>
    <w:rsid w:val="0046298C"/>
    <w:rsid w:val="0046479A"/>
    <w:rsid w:val="00464C61"/>
    <w:rsid w:val="00467D6B"/>
    <w:rsid w:val="004700DD"/>
    <w:rsid w:val="00470DBB"/>
    <w:rsid w:val="004727E4"/>
    <w:rsid w:val="004744D6"/>
    <w:rsid w:val="00474CBC"/>
    <w:rsid w:val="004752F2"/>
    <w:rsid w:val="004824E3"/>
    <w:rsid w:val="00490B7A"/>
    <w:rsid w:val="00496FFF"/>
    <w:rsid w:val="004A1844"/>
    <w:rsid w:val="004A276C"/>
    <w:rsid w:val="004A30C3"/>
    <w:rsid w:val="004A396B"/>
    <w:rsid w:val="004A6390"/>
    <w:rsid w:val="004B105A"/>
    <w:rsid w:val="004B386D"/>
    <w:rsid w:val="004B417A"/>
    <w:rsid w:val="004B48B0"/>
    <w:rsid w:val="004B7BF1"/>
    <w:rsid w:val="004C0B6C"/>
    <w:rsid w:val="004C2582"/>
    <w:rsid w:val="004C2C3D"/>
    <w:rsid w:val="004C3296"/>
    <w:rsid w:val="004D137C"/>
    <w:rsid w:val="004D1E4C"/>
    <w:rsid w:val="004D1F75"/>
    <w:rsid w:val="004D3F7A"/>
    <w:rsid w:val="004D4F3B"/>
    <w:rsid w:val="004E1307"/>
    <w:rsid w:val="004E20C9"/>
    <w:rsid w:val="004E2604"/>
    <w:rsid w:val="004E668F"/>
    <w:rsid w:val="004F08FD"/>
    <w:rsid w:val="004F0C5C"/>
    <w:rsid w:val="004F1010"/>
    <w:rsid w:val="004F2684"/>
    <w:rsid w:val="004F6059"/>
    <w:rsid w:val="00505FFB"/>
    <w:rsid w:val="00511D2B"/>
    <w:rsid w:val="00515DC2"/>
    <w:rsid w:val="00520372"/>
    <w:rsid w:val="005206E9"/>
    <w:rsid w:val="00522A48"/>
    <w:rsid w:val="0052728C"/>
    <w:rsid w:val="00530851"/>
    <w:rsid w:val="00532C79"/>
    <w:rsid w:val="00533B5D"/>
    <w:rsid w:val="00534227"/>
    <w:rsid w:val="00535F77"/>
    <w:rsid w:val="00536FB9"/>
    <w:rsid w:val="005441B0"/>
    <w:rsid w:val="00544F5D"/>
    <w:rsid w:val="00553825"/>
    <w:rsid w:val="00554C18"/>
    <w:rsid w:val="00557775"/>
    <w:rsid w:val="0055785C"/>
    <w:rsid w:val="00563F0E"/>
    <w:rsid w:val="00567BCE"/>
    <w:rsid w:val="00572119"/>
    <w:rsid w:val="00573690"/>
    <w:rsid w:val="00577DFD"/>
    <w:rsid w:val="00584330"/>
    <w:rsid w:val="00584437"/>
    <w:rsid w:val="0058594F"/>
    <w:rsid w:val="00590DC5"/>
    <w:rsid w:val="00592115"/>
    <w:rsid w:val="00593AE7"/>
    <w:rsid w:val="0059777F"/>
    <w:rsid w:val="00597930"/>
    <w:rsid w:val="005A0C8D"/>
    <w:rsid w:val="005A1828"/>
    <w:rsid w:val="005A365C"/>
    <w:rsid w:val="005A472D"/>
    <w:rsid w:val="005A5D3B"/>
    <w:rsid w:val="005B103A"/>
    <w:rsid w:val="005B135E"/>
    <w:rsid w:val="005B2237"/>
    <w:rsid w:val="005B2E0E"/>
    <w:rsid w:val="005B4083"/>
    <w:rsid w:val="005C39F9"/>
    <w:rsid w:val="005C724D"/>
    <w:rsid w:val="005D6114"/>
    <w:rsid w:val="005D7E3C"/>
    <w:rsid w:val="005E02D4"/>
    <w:rsid w:val="005E658D"/>
    <w:rsid w:val="005E6983"/>
    <w:rsid w:val="005F15BA"/>
    <w:rsid w:val="005F1622"/>
    <w:rsid w:val="005F2442"/>
    <w:rsid w:val="005F3E32"/>
    <w:rsid w:val="005F6CC7"/>
    <w:rsid w:val="00603ED4"/>
    <w:rsid w:val="0060441D"/>
    <w:rsid w:val="00604F41"/>
    <w:rsid w:val="006055AA"/>
    <w:rsid w:val="0061002C"/>
    <w:rsid w:val="006116CA"/>
    <w:rsid w:val="0061180F"/>
    <w:rsid w:val="006119FC"/>
    <w:rsid w:val="00614A48"/>
    <w:rsid w:val="00622CAA"/>
    <w:rsid w:val="0062309F"/>
    <w:rsid w:val="0062324C"/>
    <w:rsid w:val="00630218"/>
    <w:rsid w:val="006322F1"/>
    <w:rsid w:val="00632AD8"/>
    <w:rsid w:val="00634505"/>
    <w:rsid w:val="0063547B"/>
    <w:rsid w:val="00643D23"/>
    <w:rsid w:val="0064496F"/>
    <w:rsid w:val="00647CE3"/>
    <w:rsid w:val="006552F4"/>
    <w:rsid w:val="00660477"/>
    <w:rsid w:val="00660DAF"/>
    <w:rsid w:val="00660E8A"/>
    <w:rsid w:val="006618A7"/>
    <w:rsid w:val="00661FAA"/>
    <w:rsid w:val="00664D69"/>
    <w:rsid w:val="00671FB5"/>
    <w:rsid w:val="0067465F"/>
    <w:rsid w:val="00676541"/>
    <w:rsid w:val="00680A8C"/>
    <w:rsid w:val="006813F5"/>
    <w:rsid w:val="00683FFA"/>
    <w:rsid w:val="006853AA"/>
    <w:rsid w:val="006855FF"/>
    <w:rsid w:val="00692A87"/>
    <w:rsid w:val="00693565"/>
    <w:rsid w:val="00695833"/>
    <w:rsid w:val="00695974"/>
    <w:rsid w:val="00696CE3"/>
    <w:rsid w:val="006972A1"/>
    <w:rsid w:val="00697C9B"/>
    <w:rsid w:val="006A0969"/>
    <w:rsid w:val="006A18DA"/>
    <w:rsid w:val="006A4BEF"/>
    <w:rsid w:val="006A663D"/>
    <w:rsid w:val="006B1213"/>
    <w:rsid w:val="006B482D"/>
    <w:rsid w:val="006B6CA1"/>
    <w:rsid w:val="006B7BAE"/>
    <w:rsid w:val="006C19AB"/>
    <w:rsid w:val="006C451B"/>
    <w:rsid w:val="006D00F3"/>
    <w:rsid w:val="006D0344"/>
    <w:rsid w:val="006D30CD"/>
    <w:rsid w:val="006D319B"/>
    <w:rsid w:val="006D74C7"/>
    <w:rsid w:val="006E57BF"/>
    <w:rsid w:val="006F0DA8"/>
    <w:rsid w:val="006F2D04"/>
    <w:rsid w:val="006F45E6"/>
    <w:rsid w:val="006F50F3"/>
    <w:rsid w:val="006F76CC"/>
    <w:rsid w:val="006F77CB"/>
    <w:rsid w:val="007006B7"/>
    <w:rsid w:val="0070593A"/>
    <w:rsid w:val="007104C4"/>
    <w:rsid w:val="007118F9"/>
    <w:rsid w:val="007141C8"/>
    <w:rsid w:val="0071517B"/>
    <w:rsid w:val="00716117"/>
    <w:rsid w:val="00716882"/>
    <w:rsid w:val="0071797A"/>
    <w:rsid w:val="007233FE"/>
    <w:rsid w:val="00725A02"/>
    <w:rsid w:val="00727199"/>
    <w:rsid w:val="007351F5"/>
    <w:rsid w:val="0074028C"/>
    <w:rsid w:val="00740EFA"/>
    <w:rsid w:val="007416C3"/>
    <w:rsid w:val="00741881"/>
    <w:rsid w:val="00741F84"/>
    <w:rsid w:val="00745FD7"/>
    <w:rsid w:val="00752721"/>
    <w:rsid w:val="007550A6"/>
    <w:rsid w:val="007566DA"/>
    <w:rsid w:val="00762951"/>
    <w:rsid w:val="0076673D"/>
    <w:rsid w:val="007701B0"/>
    <w:rsid w:val="00770B2D"/>
    <w:rsid w:val="00770F7D"/>
    <w:rsid w:val="00771561"/>
    <w:rsid w:val="00772ABF"/>
    <w:rsid w:val="00773090"/>
    <w:rsid w:val="00773EFE"/>
    <w:rsid w:val="00780486"/>
    <w:rsid w:val="00780FCE"/>
    <w:rsid w:val="00781612"/>
    <w:rsid w:val="00781A4D"/>
    <w:rsid w:val="00786AAA"/>
    <w:rsid w:val="007910E1"/>
    <w:rsid w:val="0079378B"/>
    <w:rsid w:val="0079383A"/>
    <w:rsid w:val="0079579A"/>
    <w:rsid w:val="007A0FBB"/>
    <w:rsid w:val="007A4349"/>
    <w:rsid w:val="007A7B85"/>
    <w:rsid w:val="007B0D0A"/>
    <w:rsid w:val="007B5799"/>
    <w:rsid w:val="007B5C9F"/>
    <w:rsid w:val="007C01B1"/>
    <w:rsid w:val="007C3C52"/>
    <w:rsid w:val="007C4156"/>
    <w:rsid w:val="007C4267"/>
    <w:rsid w:val="007C4680"/>
    <w:rsid w:val="007D022D"/>
    <w:rsid w:val="007D1928"/>
    <w:rsid w:val="007D7D2A"/>
    <w:rsid w:val="007E25F2"/>
    <w:rsid w:val="007E2ABD"/>
    <w:rsid w:val="007F1CF0"/>
    <w:rsid w:val="007F25D1"/>
    <w:rsid w:val="007F4F96"/>
    <w:rsid w:val="0080317A"/>
    <w:rsid w:val="008046BA"/>
    <w:rsid w:val="00806128"/>
    <w:rsid w:val="008061EA"/>
    <w:rsid w:val="00806399"/>
    <w:rsid w:val="00806779"/>
    <w:rsid w:val="00810BF9"/>
    <w:rsid w:val="00813CCC"/>
    <w:rsid w:val="00816910"/>
    <w:rsid w:val="008223ED"/>
    <w:rsid w:val="008233E7"/>
    <w:rsid w:val="00826870"/>
    <w:rsid w:val="00830927"/>
    <w:rsid w:val="008325E0"/>
    <w:rsid w:val="00833CFC"/>
    <w:rsid w:val="00836B81"/>
    <w:rsid w:val="008404A9"/>
    <w:rsid w:val="00840810"/>
    <w:rsid w:val="00853B36"/>
    <w:rsid w:val="008568D9"/>
    <w:rsid w:val="00856E43"/>
    <w:rsid w:val="008572F7"/>
    <w:rsid w:val="00857449"/>
    <w:rsid w:val="00860421"/>
    <w:rsid w:val="008620D8"/>
    <w:rsid w:val="00867800"/>
    <w:rsid w:val="00867A6B"/>
    <w:rsid w:val="008732A3"/>
    <w:rsid w:val="0087534A"/>
    <w:rsid w:val="008773CF"/>
    <w:rsid w:val="008814DB"/>
    <w:rsid w:val="00881948"/>
    <w:rsid w:val="00881E99"/>
    <w:rsid w:val="00885308"/>
    <w:rsid w:val="00887C36"/>
    <w:rsid w:val="00890361"/>
    <w:rsid w:val="00890394"/>
    <w:rsid w:val="00891026"/>
    <w:rsid w:val="0089232B"/>
    <w:rsid w:val="00893DA2"/>
    <w:rsid w:val="008941E6"/>
    <w:rsid w:val="008965F1"/>
    <w:rsid w:val="008968C6"/>
    <w:rsid w:val="008A2529"/>
    <w:rsid w:val="008A2575"/>
    <w:rsid w:val="008A6E36"/>
    <w:rsid w:val="008A7BC7"/>
    <w:rsid w:val="008B1E19"/>
    <w:rsid w:val="008B1FF4"/>
    <w:rsid w:val="008B52F3"/>
    <w:rsid w:val="008B6210"/>
    <w:rsid w:val="008B6879"/>
    <w:rsid w:val="008C5EA7"/>
    <w:rsid w:val="008C7219"/>
    <w:rsid w:val="008D1114"/>
    <w:rsid w:val="008D2716"/>
    <w:rsid w:val="008D3F65"/>
    <w:rsid w:val="008D4CD0"/>
    <w:rsid w:val="008D73C3"/>
    <w:rsid w:val="008D75B7"/>
    <w:rsid w:val="008E1D57"/>
    <w:rsid w:val="008E2929"/>
    <w:rsid w:val="008E3ECA"/>
    <w:rsid w:val="008E45A6"/>
    <w:rsid w:val="008E49BA"/>
    <w:rsid w:val="008E63E7"/>
    <w:rsid w:val="008F0F5D"/>
    <w:rsid w:val="008F67A7"/>
    <w:rsid w:val="008F6831"/>
    <w:rsid w:val="00900A25"/>
    <w:rsid w:val="00901BCB"/>
    <w:rsid w:val="00901C30"/>
    <w:rsid w:val="0090275D"/>
    <w:rsid w:val="00902965"/>
    <w:rsid w:val="009034D6"/>
    <w:rsid w:val="00904E58"/>
    <w:rsid w:val="009064FB"/>
    <w:rsid w:val="0090679C"/>
    <w:rsid w:val="00910B42"/>
    <w:rsid w:val="0091111B"/>
    <w:rsid w:val="00911A2D"/>
    <w:rsid w:val="009137EE"/>
    <w:rsid w:val="009148D9"/>
    <w:rsid w:val="00914CB5"/>
    <w:rsid w:val="009155E1"/>
    <w:rsid w:val="009157D7"/>
    <w:rsid w:val="00915985"/>
    <w:rsid w:val="00916F54"/>
    <w:rsid w:val="00925F4C"/>
    <w:rsid w:val="0092772D"/>
    <w:rsid w:val="00931E2D"/>
    <w:rsid w:val="0093232B"/>
    <w:rsid w:val="009335F6"/>
    <w:rsid w:val="00934B68"/>
    <w:rsid w:val="00937A02"/>
    <w:rsid w:val="00940952"/>
    <w:rsid w:val="00942FE5"/>
    <w:rsid w:val="009447D7"/>
    <w:rsid w:val="00945AED"/>
    <w:rsid w:val="00946321"/>
    <w:rsid w:val="00947B3C"/>
    <w:rsid w:val="00950198"/>
    <w:rsid w:val="0095541B"/>
    <w:rsid w:val="00955610"/>
    <w:rsid w:val="009571C1"/>
    <w:rsid w:val="00957635"/>
    <w:rsid w:val="009576D9"/>
    <w:rsid w:val="009648A0"/>
    <w:rsid w:val="00965ED1"/>
    <w:rsid w:val="0097286B"/>
    <w:rsid w:val="00973B0A"/>
    <w:rsid w:val="00981428"/>
    <w:rsid w:val="0098454B"/>
    <w:rsid w:val="00985360"/>
    <w:rsid w:val="00986348"/>
    <w:rsid w:val="00987173"/>
    <w:rsid w:val="00987FE5"/>
    <w:rsid w:val="009906F1"/>
    <w:rsid w:val="009917EC"/>
    <w:rsid w:val="00992378"/>
    <w:rsid w:val="00995006"/>
    <w:rsid w:val="00997E82"/>
    <w:rsid w:val="009A2213"/>
    <w:rsid w:val="009A30ED"/>
    <w:rsid w:val="009A3787"/>
    <w:rsid w:val="009A5815"/>
    <w:rsid w:val="009A6121"/>
    <w:rsid w:val="009B311C"/>
    <w:rsid w:val="009B48A6"/>
    <w:rsid w:val="009B6036"/>
    <w:rsid w:val="009C0C28"/>
    <w:rsid w:val="009C413A"/>
    <w:rsid w:val="009C5F4A"/>
    <w:rsid w:val="009D05C7"/>
    <w:rsid w:val="009D6B4E"/>
    <w:rsid w:val="009E05C5"/>
    <w:rsid w:val="009E20AE"/>
    <w:rsid w:val="009E28C6"/>
    <w:rsid w:val="009E40CE"/>
    <w:rsid w:val="009E6DD3"/>
    <w:rsid w:val="009E7A8A"/>
    <w:rsid w:val="009F0356"/>
    <w:rsid w:val="009F1CA8"/>
    <w:rsid w:val="009F3F1F"/>
    <w:rsid w:val="009F50E8"/>
    <w:rsid w:val="00A00177"/>
    <w:rsid w:val="00A04BE9"/>
    <w:rsid w:val="00A06B7C"/>
    <w:rsid w:val="00A07948"/>
    <w:rsid w:val="00A122A4"/>
    <w:rsid w:val="00A12B0A"/>
    <w:rsid w:val="00A136CC"/>
    <w:rsid w:val="00A141ED"/>
    <w:rsid w:val="00A16A57"/>
    <w:rsid w:val="00A20323"/>
    <w:rsid w:val="00A363B4"/>
    <w:rsid w:val="00A3686C"/>
    <w:rsid w:val="00A40BB5"/>
    <w:rsid w:val="00A43568"/>
    <w:rsid w:val="00A4622B"/>
    <w:rsid w:val="00A500EF"/>
    <w:rsid w:val="00A509CC"/>
    <w:rsid w:val="00A53E33"/>
    <w:rsid w:val="00A54E80"/>
    <w:rsid w:val="00A55131"/>
    <w:rsid w:val="00A5531F"/>
    <w:rsid w:val="00A555A2"/>
    <w:rsid w:val="00A55F5A"/>
    <w:rsid w:val="00A562C7"/>
    <w:rsid w:val="00A6183E"/>
    <w:rsid w:val="00A63B9E"/>
    <w:rsid w:val="00A63C79"/>
    <w:rsid w:val="00A65E8A"/>
    <w:rsid w:val="00A662DC"/>
    <w:rsid w:val="00A71856"/>
    <w:rsid w:val="00A725DA"/>
    <w:rsid w:val="00A72A00"/>
    <w:rsid w:val="00A7455A"/>
    <w:rsid w:val="00A810DF"/>
    <w:rsid w:val="00A843E9"/>
    <w:rsid w:val="00A84E0A"/>
    <w:rsid w:val="00A91613"/>
    <w:rsid w:val="00AA3153"/>
    <w:rsid w:val="00AB28B8"/>
    <w:rsid w:val="00AB562F"/>
    <w:rsid w:val="00AC14BC"/>
    <w:rsid w:val="00AC1C97"/>
    <w:rsid w:val="00AC7060"/>
    <w:rsid w:val="00AD7912"/>
    <w:rsid w:val="00AE255B"/>
    <w:rsid w:val="00AF04C6"/>
    <w:rsid w:val="00AF6570"/>
    <w:rsid w:val="00B0320D"/>
    <w:rsid w:val="00B109BA"/>
    <w:rsid w:val="00B11B01"/>
    <w:rsid w:val="00B12246"/>
    <w:rsid w:val="00B15E6C"/>
    <w:rsid w:val="00B1659B"/>
    <w:rsid w:val="00B169BC"/>
    <w:rsid w:val="00B21611"/>
    <w:rsid w:val="00B36B91"/>
    <w:rsid w:val="00B426FC"/>
    <w:rsid w:val="00B44CC2"/>
    <w:rsid w:val="00B45B90"/>
    <w:rsid w:val="00B50969"/>
    <w:rsid w:val="00B55B8D"/>
    <w:rsid w:val="00B577A1"/>
    <w:rsid w:val="00B60DEC"/>
    <w:rsid w:val="00B6205E"/>
    <w:rsid w:val="00B63E53"/>
    <w:rsid w:val="00B64EBD"/>
    <w:rsid w:val="00B66356"/>
    <w:rsid w:val="00B66F7D"/>
    <w:rsid w:val="00B72AB2"/>
    <w:rsid w:val="00B74488"/>
    <w:rsid w:val="00B75C01"/>
    <w:rsid w:val="00B76D74"/>
    <w:rsid w:val="00B807F4"/>
    <w:rsid w:val="00B8221B"/>
    <w:rsid w:val="00B84957"/>
    <w:rsid w:val="00B87A66"/>
    <w:rsid w:val="00B9649A"/>
    <w:rsid w:val="00BA04AA"/>
    <w:rsid w:val="00BA1E1C"/>
    <w:rsid w:val="00BB4212"/>
    <w:rsid w:val="00BB6A1F"/>
    <w:rsid w:val="00BB7866"/>
    <w:rsid w:val="00BB7D12"/>
    <w:rsid w:val="00BD11F9"/>
    <w:rsid w:val="00BD12BB"/>
    <w:rsid w:val="00BD1A49"/>
    <w:rsid w:val="00BD33FF"/>
    <w:rsid w:val="00BD37EC"/>
    <w:rsid w:val="00BD4915"/>
    <w:rsid w:val="00BE23CF"/>
    <w:rsid w:val="00BE37B7"/>
    <w:rsid w:val="00BF00F1"/>
    <w:rsid w:val="00BF14EB"/>
    <w:rsid w:val="00BF31C0"/>
    <w:rsid w:val="00BF4473"/>
    <w:rsid w:val="00BF515A"/>
    <w:rsid w:val="00BF6556"/>
    <w:rsid w:val="00C01BAD"/>
    <w:rsid w:val="00C05B89"/>
    <w:rsid w:val="00C102CF"/>
    <w:rsid w:val="00C11318"/>
    <w:rsid w:val="00C151E9"/>
    <w:rsid w:val="00C176B2"/>
    <w:rsid w:val="00C17E1D"/>
    <w:rsid w:val="00C21299"/>
    <w:rsid w:val="00C243B7"/>
    <w:rsid w:val="00C2443B"/>
    <w:rsid w:val="00C26094"/>
    <w:rsid w:val="00C318BD"/>
    <w:rsid w:val="00C32DB3"/>
    <w:rsid w:val="00C348A3"/>
    <w:rsid w:val="00C34C30"/>
    <w:rsid w:val="00C352C8"/>
    <w:rsid w:val="00C35D39"/>
    <w:rsid w:val="00C3693D"/>
    <w:rsid w:val="00C40367"/>
    <w:rsid w:val="00C43C8A"/>
    <w:rsid w:val="00C45BF5"/>
    <w:rsid w:val="00C45D3A"/>
    <w:rsid w:val="00C5015C"/>
    <w:rsid w:val="00C50BD6"/>
    <w:rsid w:val="00C57E7E"/>
    <w:rsid w:val="00C621A5"/>
    <w:rsid w:val="00C64E65"/>
    <w:rsid w:val="00C672E3"/>
    <w:rsid w:val="00C67896"/>
    <w:rsid w:val="00C71B1F"/>
    <w:rsid w:val="00C75310"/>
    <w:rsid w:val="00C7532C"/>
    <w:rsid w:val="00C7619A"/>
    <w:rsid w:val="00C76DB6"/>
    <w:rsid w:val="00C82355"/>
    <w:rsid w:val="00C86ABA"/>
    <w:rsid w:val="00C9201E"/>
    <w:rsid w:val="00C942EB"/>
    <w:rsid w:val="00C95133"/>
    <w:rsid w:val="00CA01A2"/>
    <w:rsid w:val="00CA0701"/>
    <w:rsid w:val="00CA0DC6"/>
    <w:rsid w:val="00CA4303"/>
    <w:rsid w:val="00CA5E49"/>
    <w:rsid w:val="00CB09F7"/>
    <w:rsid w:val="00CB0B6B"/>
    <w:rsid w:val="00CB102A"/>
    <w:rsid w:val="00CB1CB0"/>
    <w:rsid w:val="00CB75AE"/>
    <w:rsid w:val="00CC172D"/>
    <w:rsid w:val="00CC1876"/>
    <w:rsid w:val="00CC64F3"/>
    <w:rsid w:val="00CD5BEF"/>
    <w:rsid w:val="00CE0E96"/>
    <w:rsid w:val="00CE20ED"/>
    <w:rsid w:val="00CE3694"/>
    <w:rsid w:val="00CE5217"/>
    <w:rsid w:val="00CE6AA2"/>
    <w:rsid w:val="00CF1731"/>
    <w:rsid w:val="00CF2062"/>
    <w:rsid w:val="00CF2A68"/>
    <w:rsid w:val="00CF2C23"/>
    <w:rsid w:val="00CF4A7D"/>
    <w:rsid w:val="00CF6ED1"/>
    <w:rsid w:val="00D00C42"/>
    <w:rsid w:val="00D045E8"/>
    <w:rsid w:val="00D05CCE"/>
    <w:rsid w:val="00D0725D"/>
    <w:rsid w:val="00D12583"/>
    <w:rsid w:val="00D176F1"/>
    <w:rsid w:val="00D21994"/>
    <w:rsid w:val="00D26ADC"/>
    <w:rsid w:val="00D30D6E"/>
    <w:rsid w:val="00D30E66"/>
    <w:rsid w:val="00D33562"/>
    <w:rsid w:val="00D338E1"/>
    <w:rsid w:val="00D34150"/>
    <w:rsid w:val="00D41516"/>
    <w:rsid w:val="00D43C9A"/>
    <w:rsid w:val="00D44778"/>
    <w:rsid w:val="00D44D6D"/>
    <w:rsid w:val="00D5094E"/>
    <w:rsid w:val="00D5154A"/>
    <w:rsid w:val="00D5294A"/>
    <w:rsid w:val="00D573F6"/>
    <w:rsid w:val="00D60600"/>
    <w:rsid w:val="00D72905"/>
    <w:rsid w:val="00D73EBF"/>
    <w:rsid w:val="00D74BD8"/>
    <w:rsid w:val="00D76A40"/>
    <w:rsid w:val="00D77E06"/>
    <w:rsid w:val="00D81960"/>
    <w:rsid w:val="00D83B6D"/>
    <w:rsid w:val="00D879F9"/>
    <w:rsid w:val="00D911B9"/>
    <w:rsid w:val="00D9225B"/>
    <w:rsid w:val="00D9239C"/>
    <w:rsid w:val="00D9253C"/>
    <w:rsid w:val="00D95BB3"/>
    <w:rsid w:val="00DA2483"/>
    <w:rsid w:val="00DA39F8"/>
    <w:rsid w:val="00DA41A0"/>
    <w:rsid w:val="00DA6249"/>
    <w:rsid w:val="00DA73E0"/>
    <w:rsid w:val="00DA7437"/>
    <w:rsid w:val="00DA7DBB"/>
    <w:rsid w:val="00DB2547"/>
    <w:rsid w:val="00DB310D"/>
    <w:rsid w:val="00DB3F54"/>
    <w:rsid w:val="00DB44BA"/>
    <w:rsid w:val="00DC329A"/>
    <w:rsid w:val="00DC5844"/>
    <w:rsid w:val="00DC683D"/>
    <w:rsid w:val="00DC6CD0"/>
    <w:rsid w:val="00DC6DED"/>
    <w:rsid w:val="00DD164B"/>
    <w:rsid w:val="00DD4694"/>
    <w:rsid w:val="00DD5B67"/>
    <w:rsid w:val="00DD6E33"/>
    <w:rsid w:val="00DD7125"/>
    <w:rsid w:val="00DE2F6C"/>
    <w:rsid w:val="00DE3A38"/>
    <w:rsid w:val="00DE4C4F"/>
    <w:rsid w:val="00DE5449"/>
    <w:rsid w:val="00DF0DC5"/>
    <w:rsid w:val="00DF1EAA"/>
    <w:rsid w:val="00DF3107"/>
    <w:rsid w:val="00DF472F"/>
    <w:rsid w:val="00DF7099"/>
    <w:rsid w:val="00DF7301"/>
    <w:rsid w:val="00E01847"/>
    <w:rsid w:val="00E043D3"/>
    <w:rsid w:val="00E0624B"/>
    <w:rsid w:val="00E071DA"/>
    <w:rsid w:val="00E10F67"/>
    <w:rsid w:val="00E1218E"/>
    <w:rsid w:val="00E14609"/>
    <w:rsid w:val="00E14D2C"/>
    <w:rsid w:val="00E158EE"/>
    <w:rsid w:val="00E206E1"/>
    <w:rsid w:val="00E21167"/>
    <w:rsid w:val="00E2159D"/>
    <w:rsid w:val="00E23036"/>
    <w:rsid w:val="00E23416"/>
    <w:rsid w:val="00E24A56"/>
    <w:rsid w:val="00E36319"/>
    <w:rsid w:val="00E37480"/>
    <w:rsid w:val="00E405CB"/>
    <w:rsid w:val="00E416B1"/>
    <w:rsid w:val="00E4186A"/>
    <w:rsid w:val="00E436D3"/>
    <w:rsid w:val="00E44A74"/>
    <w:rsid w:val="00E4532D"/>
    <w:rsid w:val="00E45617"/>
    <w:rsid w:val="00E551D6"/>
    <w:rsid w:val="00E55B61"/>
    <w:rsid w:val="00E60C52"/>
    <w:rsid w:val="00E624BF"/>
    <w:rsid w:val="00E6437F"/>
    <w:rsid w:val="00E654D8"/>
    <w:rsid w:val="00E65787"/>
    <w:rsid w:val="00E66C97"/>
    <w:rsid w:val="00E72DEB"/>
    <w:rsid w:val="00E73EAB"/>
    <w:rsid w:val="00E77B23"/>
    <w:rsid w:val="00E80732"/>
    <w:rsid w:val="00E82A2F"/>
    <w:rsid w:val="00E907C8"/>
    <w:rsid w:val="00E927E9"/>
    <w:rsid w:val="00E936C6"/>
    <w:rsid w:val="00EA205C"/>
    <w:rsid w:val="00EA73CE"/>
    <w:rsid w:val="00EB2D4F"/>
    <w:rsid w:val="00EB7380"/>
    <w:rsid w:val="00EC3186"/>
    <w:rsid w:val="00EC510C"/>
    <w:rsid w:val="00ED70D5"/>
    <w:rsid w:val="00EE275D"/>
    <w:rsid w:val="00EE2B27"/>
    <w:rsid w:val="00EE337B"/>
    <w:rsid w:val="00EE500C"/>
    <w:rsid w:val="00EE502E"/>
    <w:rsid w:val="00EF41FA"/>
    <w:rsid w:val="00EF51CE"/>
    <w:rsid w:val="00EF5DED"/>
    <w:rsid w:val="00EF6550"/>
    <w:rsid w:val="00F03874"/>
    <w:rsid w:val="00F110D1"/>
    <w:rsid w:val="00F12BC0"/>
    <w:rsid w:val="00F15427"/>
    <w:rsid w:val="00F23F6D"/>
    <w:rsid w:val="00F2592F"/>
    <w:rsid w:val="00F269BF"/>
    <w:rsid w:val="00F27F2C"/>
    <w:rsid w:val="00F3388C"/>
    <w:rsid w:val="00F353CC"/>
    <w:rsid w:val="00F36103"/>
    <w:rsid w:val="00F370EA"/>
    <w:rsid w:val="00F4077C"/>
    <w:rsid w:val="00F413CF"/>
    <w:rsid w:val="00F42F8C"/>
    <w:rsid w:val="00F45DEA"/>
    <w:rsid w:val="00F45FC5"/>
    <w:rsid w:val="00F51679"/>
    <w:rsid w:val="00F53831"/>
    <w:rsid w:val="00F54A38"/>
    <w:rsid w:val="00F54D4C"/>
    <w:rsid w:val="00F55217"/>
    <w:rsid w:val="00F56B2B"/>
    <w:rsid w:val="00F5701B"/>
    <w:rsid w:val="00F61B3B"/>
    <w:rsid w:val="00F62FC4"/>
    <w:rsid w:val="00F63760"/>
    <w:rsid w:val="00F74BD9"/>
    <w:rsid w:val="00F77736"/>
    <w:rsid w:val="00F8072C"/>
    <w:rsid w:val="00F81288"/>
    <w:rsid w:val="00F815B6"/>
    <w:rsid w:val="00F85614"/>
    <w:rsid w:val="00F90BE0"/>
    <w:rsid w:val="00F95309"/>
    <w:rsid w:val="00F96515"/>
    <w:rsid w:val="00FB08B6"/>
    <w:rsid w:val="00FB1406"/>
    <w:rsid w:val="00FB2367"/>
    <w:rsid w:val="00FB2A5E"/>
    <w:rsid w:val="00FB3A57"/>
    <w:rsid w:val="00FB41D2"/>
    <w:rsid w:val="00FB4D42"/>
    <w:rsid w:val="00FB4D71"/>
    <w:rsid w:val="00FC14A5"/>
    <w:rsid w:val="00FC2953"/>
    <w:rsid w:val="00FC3561"/>
    <w:rsid w:val="00FD25F7"/>
    <w:rsid w:val="00FD406C"/>
    <w:rsid w:val="00FE33D0"/>
    <w:rsid w:val="00FE3C39"/>
    <w:rsid w:val="00FF0EC4"/>
    <w:rsid w:val="00FF200E"/>
    <w:rsid w:val="00FF2105"/>
    <w:rsid w:val="00FF3095"/>
    <w:rsid w:val="00FF3BE0"/>
    <w:rsid w:val="00FF3D56"/>
    <w:rsid w:val="00FF3E4A"/>
    <w:rsid w:val="00FF4916"/>
    <w:rsid w:val="00FF5558"/>
    <w:rsid w:val="00FF615C"/>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BDB6AA9"/>
  <w15:docId w15:val="{85D388F7-4BCA-4ECA-B9F1-72BCE989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47"/>
    <w:rPr>
      <w:rFonts w:ascii="Arial" w:eastAsia="MS Mincho" w:hAnsi="Arial"/>
      <w:sz w:val="24"/>
      <w:szCs w:val="24"/>
      <w:lang w:eastAsia="ja-JP"/>
    </w:rPr>
  </w:style>
  <w:style w:type="paragraph" w:styleId="Heading1">
    <w:name w:val="heading 1"/>
    <w:basedOn w:val="Normal"/>
    <w:next w:val="Normal"/>
    <w:link w:val="Heading1Char"/>
    <w:uiPriority w:val="99"/>
    <w:qFormat/>
    <w:rsid w:val="00DD164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locked/>
    <w:rsid w:val="004752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39F8"/>
    <w:rPr>
      <w:rFonts w:ascii="Cambria" w:hAnsi="Cambria" w:cs="Times New Roman"/>
      <w:b/>
      <w:bCs/>
      <w:kern w:val="32"/>
      <w:sz w:val="32"/>
      <w:szCs w:val="32"/>
      <w:lang w:eastAsia="ja-JP"/>
    </w:rPr>
  </w:style>
  <w:style w:type="paragraph" w:styleId="Header">
    <w:name w:val="header"/>
    <w:basedOn w:val="Normal"/>
    <w:link w:val="HeaderChar"/>
    <w:uiPriority w:val="99"/>
    <w:rsid w:val="00DD164B"/>
    <w:pPr>
      <w:tabs>
        <w:tab w:val="center" w:pos="4464"/>
        <w:tab w:val="right" w:pos="8928"/>
      </w:tabs>
    </w:pPr>
  </w:style>
  <w:style w:type="character" w:customStyle="1" w:styleId="HeaderChar">
    <w:name w:val="Header Char"/>
    <w:link w:val="Header"/>
    <w:uiPriority w:val="99"/>
    <w:semiHidden/>
    <w:locked/>
    <w:rsid w:val="00DA39F8"/>
    <w:rPr>
      <w:rFonts w:ascii="Arial" w:eastAsia="MS Mincho" w:hAnsi="Arial" w:cs="Times New Roman"/>
      <w:sz w:val="24"/>
      <w:szCs w:val="24"/>
      <w:lang w:eastAsia="ja-JP"/>
    </w:rPr>
  </w:style>
  <w:style w:type="paragraph" w:styleId="ListParagraph">
    <w:name w:val="List Paragraph"/>
    <w:basedOn w:val="Normal"/>
    <w:uiPriority w:val="34"/>
    <w:qFormat/>
    <w:rsid w:val="00DD164B"/>
    <w:pPr>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uiPriority w:val="99"/>
    <w:rsid w:val="00DD164B"/>
    <w:pPr>
      <w:spacing w:before="100" w:beforeAutospacing="1" w:after="100" w:afterAutospacing="1"/>
    </w:pPr>
    <w:rPr>
      <w:rFonts w:ascii="Times" w:hAnsi="Times"/>
      <w:sz w:val="20"/>
      <w:szCs w:val="20"/>
      <w:lang w:eastAsia="en-US"/>
    </w:rPr>
  </w:style>
  <w:style w:type="paragraph" w:styleId="Footer">
    <w:name w:val="footer"/>
    <w:basedOn w:val="Normal"/>
    <w:link w:val="FooterChar"/>
    <w:uiPriority w:val="99"/>
    <w:rsid w:val="002C4FC0"/>
    <w:pPr>
      <w:tabs>
        <w:tab w:val="center" w:pos="4153"/>
        <w:tab w:val="right" w:pos="8306"/>
      </w:tabs>
    </w:pPr>
  </w:style>
  <w:style w:type="character" w:customStyle="1" w:styleId="FooterChar">
    <w:name w:val="Footer Char"/>
    <w:link w:val="Footer"/>
    <w:uiPriority w:val="99"/>
    <w:semiHidden/>
    <w:locked/>
    <w:rsid w:val="00DA39F8"/>
    <w:rPr>
      <w:rFonts w:ascii="Arial" w:eastAsia="MS Mincho" w:hAnsi="Arial" w:cs="Times New Roman"/>
      <w:sz w:val="24"/>
      <w:szCs w:val="24"/>
      <w:lang w:eastAsia="ja-JP"/>
    </w:rPr>
  </w:style>
  <w:style w:type="character" w:styleId="Strong">
    <w:name w:val="Strong"/>
    <w:uiPriority w:val="99"/>
    <w:qFormat/>
    <w:rsid w:val="00902965"/>
    <w:rPr>
      <w:rFonts w:cs="Times New Roman"/>
      <w:b/>
      <w:bCs/>
    </w:rPr>
  </w:style>
  <w:style w:type="paragraph" w:customStyle="1" w:styleId="Default">
    <w:name w:val="Default"/>
    <w:rsid w:val="00DE5449"/>
    <w:pPr>
      <w:autoSpaceDE w:val="0"/>
      <w:autoSpaceDN w:val="0"/>
      <w:adjustRightInd w:val="0"/>
    </w:pPr>
    <w:rPr>
      <w:rFonts w:ascii="Helvetica 45 Light" w:hAnsi="Helvetica 45 Light" w:cs="Helvetica 45 Light"/>
      <w:color w:val="000000"/>
      <w:sz w:val="24"/>
      <w:szCs w:val="24"/>
    </w:rPr>
  </w:style>
  <w:style w:type="character" w:styleId="CommentReference">
    <w:name w:val="annotation reference"/>
    <w:uiPriority w:val="99"/>
    <w:semiHidden/>
    <w:rsid w:val="00C57E7E"/>
    <w:rPr>
      <w:rFonts w:cs="Times New Roman"/>
      <w:sz w:val="16"/>
      <w:szCs w:val="16"/>
    </w:rPr>
  </w:style>
  <w:style w:type="paragraph" w:styleId="CommentText">
    <w:name w:val="annotation text"/>
    <w:basedOn w:val="Normal"/>
    <w:link w:val="CommentTextChar"/>
    <w:uiPriority w:val="99"/>
    <w:semiHidden/>
    <w:rsid w:val="00C57E7E"/>
    <w:rPr>
      <w:sz w:val="20"/>
      <w:szCs w:val="20"/>
    </w:rPr>
  </w:style>
  <w:style w:type="character" w:customStyle="1" w:styleId="CommentTextChar">
    <w:name w:val="Comment Text Char"/>
    <w:link w:val="CommentText"/>
    <w:uiPriority w:val="99"/>
    <w:semiHidden/>
    <w:locked/>
    <w:rsid w:val="00DA39F8"/>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C57E7E"/>
    <w:rPr>
      <w:b/>
      <w:bCs/>
    </w:rPr>
  </w:style>
  <w:style w:type="character" w:customStyle="1" w:styleId="CommentSubjectChar">
    <w:name w:val="Comment Subject Char"/>
    <w:link w:val="CommentSubject"/>
    <w:uiPriority w:val="99"/>
    <w:semiHidden/>
    <w:locked/>
    <w:rsid w:val="00DA39F8"/>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rsid w:val="00C57E7E"/>
    <w:rPr>
      <w:rFonts w:ascii="Tahoma" w:hAnsi="Tahoma" w:cs="Tahoma"/>
      <w:sz w:val="16"/>
      <w:szCs w:val="16"/>
    </w:rPr>
  </w:style>
  <w:style w:type="character" w:customStyle="1" w:styleId="BalloonTextChar">
    <w:name w:val="Balloon Text Char"/>
    <w:link w:val="BalloonText"/>
    <w:uiPriority w:val="99"/>
    <w:semiHidden/>
    <w:locked/>
    <w:rsid w:val="00DA39F8"/>
    <w:rPr>
      <w:rFonts w:eastAsia="MS Mincho" w:cs="Times New Roman"/>
      <w:sz w:val="2"/>
      <w:lang w:eastAsia="ja-JP"/>
    </w:rPr>
  </w:style>
  <w:style w:type="table" w:styleId="TableGrid">
    <w:name w:val="Table Grid"/>
    <w:basedOn w:val="TableNormal"/>
    <w:uiPriority w:val="59"/>
    <w:locked/>
    <w:rsid w:val="009F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A53E33"/>
    <w:pPr>
      <w:ind w:left="720"/>
    </w:pPr>
    <w:rPr>
      <w:rFonts w:eastAsia="Times New Roman"/>
      <w:szCs w:val="20"/>
      <w:lang w:eastAsia="en-US"/>
    </w:rPr>
  </w:style>
  <w:style w:type="character" w:customStyle="1" w:styleId="BodyTextIndentChar">
    <w:name w:val="Body Text Indent Char"/>
    <w:link w:val="BodyTextIndent"/>
    <w:semiHidden/>
    <w:rsid w:val="00A53E33"/>
    <w:rPr>
      <w:rFonts w:ascii="Arial" w:hAnsi="Arial"/>
      <w:sz w:val="24"/>
      <w:lang w:eastAsia="en-US"/>
    </w:rPr>
  </w:style>
  <w:style w:type="character" w:styleId="Hyperlink">
    <w:name w:val="Hyperlink"/>
    <w:basedOn w:val="DefaultParagraphFont"/>
    <w:uiPriority w:val="99"/>
    <w:unhideWhenUsed/>
    <w:rsid w:val="00A00177"/>
    <w:rPr>
      <w:color w:val="0000FF" w:themeColor="hyperlink"/>
      <w:u w:val="single"/>
    </w:rPr>
  </w:style>
  <w:style w:type="character" w:styleId="FollowedHyperlink">
    <w:name w:val="FollowedHyperlink"/>
    <w:basedOn w:val="DefaultParagraphFont"/>
    <w:uiPriority w:val="99"/>
    <w:semiHidden/>
    <w:unhideWhenUsed/>
    <w:rsid w:val="00A00177"/>
    <w:rPr>
      <w:color w:val="800080" w:themeColor="followedHyperlink"/>
      <w:u w:val="single"/>
    </w:rPr>
  </w:style>
  <w:style w:type="paragraph" w:customStyle="1" w:styleId="Style14">
    <w:name w:val="Style14"/>
    <w:basedOn w:val="Normal"/>
    <w:rsid w:val="00A7455A"/>
    <w:rPr>
      <w:rFonts w:eastAsia="Times New Roman" w:cs="Arial"/>
      <w:lang w:eastAsia="en-US"/>
    </w:rPr>
  </w:style>
  <w:style w:type="character" w:customStyle="1" w:styleId="UnresolvedMention1">
    <w:name w:val="Unresolved Mention1"/>
    <w:basedOn w:val="DefaultParagraphFont"/>
    <w:uiPriority w:val="99"/>
    <w:semiHidden/>
    <w:unhideWhenUsed/>
    <w:rsid w:val="00947B3C"/>
    <w:rPr>
      <w:color w:val="605E5C"/>
      <w:shd w:val="clear" w:color="auto" w:fill="E1DFDD"/>
    </w:rPr>
  </w:style>
  <w:style w:type="paragraph" w:styleId="Revision">
    <w:name w:val="Revision"/>
    <w:hidden/>
    <w:uiPriority w:val="99"/>
    <w:semiHidden/>
    <w:rsid w:val="00EB2D4F"/>
    <w:rPr>
      <w:rFonts w:ascii="Arial" w:eastAsia="MS Mincho" w:hAnsi="Arial"/>
      <w:sz w:val="24"/>
      <w:szCs w:val="24"/>
      <w:lang w:eastAsia="ja-JP"/>
    </w:rPr>
  </w:style>
  <w:style w:type="character" w:customStyle="1" w:styleId="UnresolvedMention2">
    <w:name w:val="Unresolved Mention2"/>
    <w:basedOn w:val="DefaultParagraphFont"/>
    <w:uiPriority w:val="99"/>
    <w:semiHidden/>
    <w:unhideWhenUsed/>
    <w:rsid w:val="00C318BD"/>
    <w:rPr>
      <w:color w:val="605E5C"/>
      <w:shd w:val="clear" w:color="auto" w:fill="E1DFDD"/>
    </w:rPr>
  </w:style>
  <w:style w:type="character" w:customStyle="1" w:styleId="Heading2Char">
    <w:name w:val="Heading 2 Char"/>
    <w:basedOn w:val="DefaultParagraphFont"/>
    <w:link w:val="Heading2"/>
    <w:semiHidden/>
    <w:rsid w:val="004752F2"/>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3423">
      <w:bodyDiv w:val="1"/>
      <w:marLeft w:val="0"/>
      <w:marRight w:val="0"/>
      <w:marTop w:val="0"/>
      <w:marBottom w:val="0"/>
      <w:divBdr>
        <w:top w:val="none" w:sz="0" w:space="0" w:color="auto"/>
        <w:left w:val="none" w:sz="0" w:space="0" w:color="auto"/>
        <w:bottom w:val="none" w:sz="0" w:space="0" w:color="auto"/>
        <w:right w:val="none" w:sz="0" w:space="0" w:color="auto"/>
      </w:divBdr>
    </w:div>
    <w:div w:id="127825281">
      <w:bodyDiv w:val="1"/>
      <w:marLeft w:val="0"/>
      <w:marRight w:val="0"/>
      <w:marTop w:val="0"/>
      <w:marBottom w:val="0"/>
      <w:divBdr>
        <w:top w:val="none" w:sz="0" w:space="0" w:color="auto"/>
        <w:left w:val="none" w:sz="0" w:space="0" w:color="auto"/>
        <w:bottom w:val="none" w:sz="0" w:space="0" w:color="auto"/>
        <w:right w:val="none" w:sz="0" w:space="0" w:color="auto"/>
      </w:divBdr>
    </w:div>
    <w:div w:id="269512089">
      <w:bodyDiv w:val="1"/>
      <w:marLeft w:val="0"/>
      <w:marRight w:val="0"/>
      <w:marTop w:val="0"/>
      <w:marBottom w:val="0"/>
      <w:divBdr>
        <w:top w:val="none" w:sz="0" w:space="0" w:color="auto"/>
        <w:left w:val="none" w:sz="0" w:space="0" w:color="auto"/>
        <w:bottom w:val="none" w:sz="0" w:space="0" w:color="auto"/>
        <w:right w:val="none" w:sz="0" w:space="0" w:color="auto"/>
      </w:divBdr>
    </w:div>
    <w:div w:id="313796178">
      <w:bodyDiv w:val="1"/>
      <w:marLeft w:val="0"/>
      <w:marRight w:val="0"/>
      <w:marTop w:val="0"/>
      <w:marBottom w:val="0"/>
      <w:divBdr>
        <w:top w:val="none" w:sz="0" w:space="0" w:color="auto"/>
        <w:left w:val="none" w:sz="0" w:space="0" w:color="auto"/>
        <w:bottom w:val="none" w:sz="0" w:space="0" w:color="auto"/>
        <w:right w:val="none" w:sz="0" w:space="0" w:color="auto"/>
      </w:divBdr>
    </w:div>
    <w:div w:id="449520360">
      <w:bodyDiv w:val="1"/>
      <w:marLeft w:val="0"/>
      <w:marRight w:val="0"/>
      <w:marTop w:val="0"/>
      <w:marBottom w:val="0"/>
      <w:divBdr>
        <w:top w:val="none" w:sz="0" w:space="0" w:color="auto"/>
        <w:left w:val="none" w:sz="0" w:space="0" w:color="auto"/>
        <w:bottom w:val="none" w:sz="0" w:space="0" w:color="auto"/>
        <w:right w:val="none" w:sz="0" w:space="0" w:color="auto"/>
      </w:divBdr>
    </w:div>
    <w:div w:id="499581548">
      <w:bodyDiv w:val="1"/>
      <w:marLeft w:val="0"/>
      <w:marRight w:val="0"/>
      <w:marTop w:val="0"/>
      <w:marBottom w:val="0"/>
      <w:divBdr>
        <w:top w:val="none" w:sz="0" w:space="0" w:color="auto"/>
        <w:left w:val="none" w:sz="0" w:space="0" w:color="auto"/>
        <w:bottom w:val="none" w:sz="0" w:space="0" w:color="auto"/>
        <w:right w:val="none" w:sz="0" w:space="0" w:color="auto"/>
      </w:divBdr>
    </w:div>
    <w:div w:id="537661733">
      <w:bodyDiv w:val="1"/>
      <w:marLeft w:val="0"/>
      <w:marRight w:val="0"/>
      <w:marTop w:val="0"/>
      <w:marBottom w:val="0"/>
      <w:divBdr>
        <w:top w:val="none" w:sz="0" w:space="0" w:color="auto"/>
        <w:left w:val="none" w:sz="0" w:space="0" w:color="auto"/>
        <w:bottom w:val="none" w:sz="0" w:space="0" w:color="auto"/>
        <w:right w:val="none" w:sz="0" w:space="0" w:color="auto"/>
      </w:divBdr>
    </w:div>
    <w:div w:id="557284380">
      <w:bodyDiv w:val="1"/>
      <w:marLeft w:val="0"/>
      <w:marRight w:val="0"/>
      <w:marTop w:val="0"/>
      <w:marBottom w:val="0"/>
      <w:divBdr>
        <w:top w:val="none" w:sz="0" w:space="0" w:color="auto"/>
        <w:left w:val="none" w:sz="0" w:space="0" w:color="auto"/>
        <w:bottom w:val="none" w:sz="0" w:space="0" w:color="auto"/>
        <w:right w:val="none" w:sz="0" w:space="0" w:color="auto"/>
      </w:divBdr>
    </w:div>
    <w:div w:id="612251355">
      <w:bodyDiv w:val="1"/>
      <w:marLeft w:val="0"/>
      <w:marRight w:val="0"/>
      <w:marTop w:val="0"/>
      <w:marBottom w:val="0"/>
      <w:divBdr>
        <w:top w:val="none" w:sz="0" w:space="0" w:color="auto"/>
        <w:left w:val="none" w:sz="0" w:space="0" w:color="auto"/>
        <w:bottom w:val="none" w:sz="0" w:space="0" w:color="auto"/>
        <w:right w:val="none" w:sz="0" w:space="0" w:color="auto"/>
      </w:divBdr>
    </w:div>
    <w:div w:id="712116005">
      <w:bodyDiv w:val="1"/>
      <w:marLeft w:val="0"/>
      <w:marRight w:val="0"/>
      <w:marTop w:val="0"/>
      <w:marBottom w:val="0"/>
      <w:divBdr>
        <w:top w:val="none" w:sz="0" w:space="0" w:color="auto"/>
        <w:left w:val="none" w:sz="0" w:space="0" w:color="auto"/>
        <w:bottom w:val="none" w:sz="0" w:space="0" w:color="auto"/>
        <w:right w:val="none" w:sz="0" w:space="0" w:color="auto"/>
      </w:divBdr>
    </w:div>
    <w:div w:id="750394433">
      <w:bodyDiv w:val="1"/>
      <w:marLeft w:val="0"/>
      <w:marRight w:val="0"/>
      <w:marTop w:val="0"/>
      <w:marBottom w:val="0"/>
      <w:divBdr>
        <w:top w:val="none" w:sz="0" w:space="0" w:color="auto"/>
        <w:left w:val="none" w:sz="0" w:space="0" w:color="auto"/>
        <w:bottom w:val="none" w:sz="0" w:space="0" w:color="auto"/>
        <w:right w:val="none" w:sz="0" w:space="0" w:color="auto"/>
      </w:divBdr>
    </w:div>
    <w:div w:id="762721898">
      <w:bodyDiv w:val="1"/>
      <w:marLeft w:val="0"/>
      <w:marRight w:val="0"/>
      <w:marTop w:val="0"/>
      <w:marBottom w:val="0"/>
      <w:divBdr>
        <w:top w:val="none" w:sz="0" w:space="0" w:color="auto"/>
        <w:left w:val="none" w:sz="0" w:space="0" w:color="auto"/>
        <w:bottom w:val="none" w:sz="0" w:space="0" w:color="auto"/>
        <w:right w:val="none" w:sz="0" w:space="0" w:color="auto"/>
      </w:divBdr>
    </w:div>
    <w:div w:id="818116477">
      <w:bodyDiv w:val="1"/>
      <w:marLeft w:val="0"/>
      <w:marRight w:val="0"/>
      <w:marTop w:val="0"/>
      <w:marBottom w:val="0"/>
      <w:divBdr>
        <w:top w:val="none" w:sz="0" w:space="0" w:color="auto"/>
        <w:left w:val="none" w:sz="0" w:space="0" w:color="auto"/>
        <w:bottom w:val="none" w:sz="0" w:space="0" w:color="auto"/>
        <w:right w:val="none" w:sz="0" w:space="0" w:color="auto"/>
      </w:divBdr>
    </w:div>
    <w:div w:id="822702694">
      <w:bodyDiv w:val="1"/>
      <w:marLeft w:val="0"/>
      <w:marRight w:val="0"/>
      <w:marTop w:val="0"/>
      <w:marBottom w:val="0"/>
      <w:divBdr>
        <w:top w:val="none" w:sz="0" w:space="0" w:color="auto"/>
        <w:left w:val="none" w:sz="0" w:space="0" w:color="auto"/>
        <w:bottom w:val="none" w:sz="0" w:space="0" w:color="auto"/>
        <w:right w:val="none" w:sz="0" w:space="0" w:color="auto"/>
      </w:divBdr>
    </w:div>
    <w:div w:id="903880574">
      <w:bodyDiv w:val="1"/>
      <w:marLeft w:val="0"/>
      <w:marRight w:val="0"/>
      <w:marTop w:val="0"/>
      <w:marBottom w:val="0"/>
      <w:divBdr>
        <w:top w:val="none" w:sz="0" w:space="0" w:color="auto"/>
        <w:left w:val="none" w:sz="0" w:space="0" w:color="auto"/>
        <w:bottom w:val="none" w:sz="0" w:space="0" w:color="auto"/>
        <w:right w:val="none" w:sz="0" w:space="0" w:color="auto"/>
      </w:divBdr>
    </w:div>
    <w:div w:id="932130041">
      <w:bodyDiv w:val="1"/>
      <w:marLeft w:val="0"/>
      <w:marRight w:val="0"/>
      <w:marTop w:val="0"/>
      <w:marBottom w:val="0"/>
      <w:divBdr>
        <w:top w:val="none" w:sz="0" w:space="0" w:color="auto"/>
        <w:left w:val="none" w:sz="0" w:space="0" w:color="auto"/>
        <w:bottom w:val="none" w:sz="0" w:space="0" w:color="auto"/>
        <w:right w:val="none" w:sz="0" w:space="0" w:color="auto"/>
      </w:divBdr>
    </w:div>
    <w:div w:id="967128622">
      <w:bodyDiv w:val="1"/>
      <w:marLeft w:val="0"/>
      <w:marRight w:val="0"/>
      <w:marTop w:val="0"/>
      <w:marBottom w:val="0"/>
      <w:divBdr>
        <w:top w:val="none" w:sz="0" w:space="0" w:color="auto"/>
        <w:left w:val="none" w:sz="0" w:space="0" w:color="auto"/>
        <w:bottom w:val="none" w:sz="0" w:space="0" w:color="auto"/>
        <w:right w:val="none" w:sz="0" w:space="0" w:color="auto"/>
      </w:divBdr>
    </w:div>
    <w:div w:id="1088698446">
      <w:bodyDiv w:val="1"/>
      <w:marLeft w:val="0"/>
      <w:marRight w:val="0"/>
      <w:marTop w:val="0"/>
      <w:marBottom w:val="0"/>
      <w:divBdr>
        <w:top w:val="none" w:sz="0" w:space="0" w:color="auto"/>
        <w:left w:val="none" w:sz="0" w:space="0" w:color="auto"/>
        <w:bottom w:val="none" w:sz="0" w:space="0" w:color="auto"/>
        <w:right w:val="none" w:sz="0" w:space="0" w:color="auto"/>
      </w:divBdr>
    </w:div>
    <w:div w:id="1126847870">
      <w:bodyDiv w:val="1"/>
      <w:marLeft w:val="0"/>
      <w:marRight w:val="0"/>
      <w:marTop w:val="0"/>
      <w:marBottom w:val="0"/>
      <w:divBdr>
        <w:top w:val="none" w:sz="0" w:space="0" w:color="auto"/>
        <w:left w:val="none" w:sz="0" w:space="0" w:color="auto"/>
        <w:bottom w:val="none" w:sz="0" w:space="0" w:color="auto"/>
        <w:right w:val="none" w:sz="0" w:space="0" w:color="auto"/>
      </w:divBdr>
    </w:div>
    <w:div w:id="1305503422">
      <w:bodyDiv w:val="1"/>
      <w:marLeft w:val="0"/>
      <w:marRight w:val="0"/>
      <w:marTop w:val="0"/>
      <w:marBottom w:val="0"/>
      <w:divBdr>
        <w:top w:val="none" w:sz="0" w:space="0" w:color="auto"/>
        <w:left w:val="none" w:sz="0" w:space="0" w:color="auto"/>
        <w:bottom w:val="none" w:sz="0" w:space="0" w:color="auto"/>
        <w:right w:val="none" w:sz="0" w:space="0" w:color="auto"/>
      </w:divBdr>
    </w:div>
    <w:div w:id="1411854825">
      <w:bodyDiv w:val="1"/>
      <w:marLeft w:val="0"/>
      <w:marRight w:val="0"/>
      <w:marTop w:val="0"/>
      <w:marBottom w:val="0"/>
      <w:divBdr>
        <w:top w:val="none" w:sz="0" w:space="0" w:color="auto"/>
        <w:left w:val="none" w:sz="0" w:space="0" w:color="auto"/>
        <w:bottom w:val="none" w:sz="0" w:space="0" w:color="auto"/>
        <w:right w:val="none" w:sz="0" w:space="0" w:color="auto"/>
      </w:divBdr>
    </w:div>
    <w:div w:id="1475950897">
      <w:bodyDiv w:val="1"/>
      <w:marLeft w:val="0"/>
      <w:marRight w:val="0"/>
      <w:marTop w:val="0"/>
      <w:marBottom w:val="0"/>
      <w:divBdr>
        <w:top w:val="none" w:sz="0" w:space="0" w:color="auto"/>
        <w:left w:val="none" w:sz="0" w:space="0" w:color="auto"/>
        <w:bottom w:val="none" w:sz="0" w:space="0" w:color="auto"/>
        <w:right w:val="none" w:sz="0" w:space="0" w:color="auto"/>
      </w:divBdr>
    </w:div>
    <w:div w:id="1495680609">
      <w:bodyDiv w:val="1"/>
      <w:marLeft w:val="0"/>
      <w:marRight w:val="0"/>
      <w:marTop w:val="0"/>
      <w:marBottom w:val="0"/>
      <w:divBdr>
        <w:top w:val="none" w:sz="0" w:space="0" w:color="auto"/>
        <w:left w:val="none" w:sz="0" w:space="0" w:color="auto"/>
        <w:bottom w:val="none" w:sz="0" w:space="0" w:color="auto"/>
        <w:right w:val="none" w:sz="0" w:space="0" w:color="auto"/>
      </w:divBdr>
    </w:div>
    <w:div w:id="1498307761">
      <w:bodyDiv w:val="1"/>
      <w:marLeft w:val="0"/>
      <w:marRight w:val="0"/>
      <w:marTop w:val="0"/>
      <w:marBottom w:val="0"/>
      <w:divBdr>
        <w:top w:val="none" w:sz="0" w:space="0" w:color="auto"/>
        <w:left w:val="none" w:sz="0" w:space="0" w:color="auto"/>
        <w:bottom w:val="none" w:sz="0" w:space="0" w:color="auto"/>
        <w:right w:val="none" w:sz="0" w:space="0" w:color="auto"/>
      </w:divBdr>
    </w:div>
    <w:div w:id="1503008279">
      <w:marLeft w:val="0"/>
      <w:marRight w:val="0"/>
      <w:marTop w:val="0"/>
      <w:marBottom w:val="0"/>
      <w:divBdr>
        <w:top w:val="none" w:sz="0" w:space="0" w:color="auto"/>
        <w:left w:val="none" w:sz="0" w:space="0" w:color="auto"/>
        <w:bottom w:val="none" w:sz="0" w:space="0" w:color="auto"/>
        <w:right w:val="none" w:sz="0" w:space="0" w:color="auto"/>
      </w:divBdr>
      <w:divsChild>
        <w:div w:id="1503008282">
          <w:marLeft w:val="0"/>
          <w:marRight w:val="0"/>
          <w:marTop w:val="0"/>
          <w:marBottom w:val="0"/>
          <w:divBdr>
            <w:top w:val="none" w:sz="0" w:space="0" w:color="auto"/>
            <w:left w:val="none" w:sz="0" w:space="0" w:color="auto"/>
            <w:bottom w:val="none" w:sz="0" w:space="0" w:color="auto"/>
            <w:right w:val="none" w:sz="0" w:space="0" w:color="auto"/>
          </w:divBdr>
          <w:divsChild>
            <w:div w:id="1503008330">
              <w:marLeft w:val="0"/>
              <w:marRight w:val="0"/>
              <w:marTop w:val="0"/>
              <w:marBottom w:val="0"/>
              <w:divBdr>
                <w:top w:val="none" w:sz="0" w:space="0" w:color="auto"/>
                <w:left w:val="none" w:sz="0" w:space="0" w:color="auto"/>
                <w:bottom w:val="none" w:sz="0" w:space="0" w:color="auto"/>
                <w:right w:val="none" w:sz="0" w:space="0" w:color="auto"/>
              </w:divBdr>
              <w:divsChild>
                <w:div w:id="1503008289">
                  <w:marLeft w:val="-450"/>
                  <w:marRight w:val="0"/>
                  <w:marTop w:val="0"/>
                  <w:marBottom w:val="0"/>
                  <w:divBdr>
                    <w:top w:val="none" w:sz="0" w:space="0" w:color="auto"/>
                    <w:left w:val="none" w:sz="0" w:space="0" w:color="auto"/>
                    <w:bottom w:val="none" w:sz="0" w:space="0" w:color="auto"/>
                    <w:right w:val="none" w:sz="0" w:space="0" w:color="auto"/>
                  </w:divBdr>
                  <w:divsChild>
                    <w:div w:id="1503008291">
                      <w:marLeft w:val="0"/>
                      <w:marRight w:val="0"/>
                      <w:marTop w:val="0"/>
                      <w:marBottom w:val="0"/>
                      <w:divBdr>
                        <w:top w:val="none" w:sz="0" w:space="0" w:color="auto"/>
                        <w:left w:val="none" w:sz="0" w:space="0" w:color="auto"/>
                        <w:bottom w:val="none" w:sz="0" w:space="0" w:color="auto"/>
                        <w:right w:val="none" w:sz="0" w:space="0" w:color="auto"/>
                      </w:divBdr>
                      <w:divsChild>
                        <w:div w:id="1503008314">
                          <w:marLeft w:val="0"/>
                          <w:marRight w:val="0"/>
                          <w:marTop w:val="0"/>
                          <w:marBottom w:val="0"/>
                          <w:divBdr>
                            <w:top w:val="none" w:sz="0" w:space="0" w:color="auto"/>
                            <w:left w:val="none" w:sz="0" w:space="0" w:color="auto"/>
                            <w:bottom w:val="none" w:sz="0" w:space="0" w:color="auto"/>
                            <w:right w:val="none" w:sz="0" w:space="0" w:color="auto"/>
                          </w:divBdr>
                          <w:divsChild>
                            <w:div w:id="1503008288">
                              <w:marLeft w:val="0"/>
                              <w:marRight w:val="0"/>
                              <w:marTop w:val="0"/>
                              <w:marBottom w:val="0"/>
                              <w:divBdr>
                                <w:top w:val="none" w:sz="0" w:space="0" w:color="auto"/>
                                <w:left w:val="none" w:sz="0" w:space="0" w:color="auto"/>
                                <w:bottom w:val="none" w:sz="0" w:space="0" w:color="auto"/>
                                <w:right w:val="none" w:sz="0" w:space="0" w:color="auto"/>
                              </w:divBdr>
                              <w:divsChild>
                                <w:div w:id="15030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283">
      <w:marLeft w:val="0"/>
      <w:marRight w:val="0"/>
      <w:marTop w:val="0"/>
      <w:marBottom w:val="0"/>
      <w:divBdr>
        <w:top w:val="none" w:sz="0" w:space="0" w:color="auto"/>
        <w:left w:val="none" w:sz="0" w:space="0" w:color="auto"/>
        <w:bottom w:val="none" w:sz="0" w:space="0" w:color="auto"/>
        <w:right w:val="none" w:sz="0" w:space="0" w:color="auto"/>
      </w:divBdr>
      <w:divsChild>
        <w:div w:id="1503008298">
          <w:marLeft w:val="0"/>
          <w:marRight w:val="0"/>
          <w:marTop w:val="0"/>
          <w:marBottom w:val="0"/>
          <w:divBdr>
            <w:top w:val="none" w:sz="0" w:space="0" w:color="auto"/>
            <w:left w:val="none" w:sz="0" w:space="0" w:color="auto"/>
            <w:bottom w:val="none" w:sz="0" w:space="0" w:color="auto"/>
            <w:right w:val="none" w:sz="0" w:space="0" w:color="auto"/>
          </w:divBdr>
          <w:divsChild>
            <w:div w:id="1503008339">
              <w:marLeft w:val="0"/>
              <w:marRight w:val="0"/>
              <w:marTop w:val="0"/>
              <w:marBottom w:val="0"/>
              <w:divBdr>
                <w:top w:val="none" w:sz="0" w:space="0" w:color="auto"/>
                <w:left w:val="none" w:sz="0" w:space="0" w:color="auto"/>
                <w:bottom w:val="none" w:sz="0" w:space="0" w:color="auto"/>
                <w:right w:val="none" w:sz="0" w:space="0" w:color="auto"/>
              </w:divBdr>
              <w:divsChild>
                <w:div w:id="1503008284">
                  <w:marLeft w:val="0"/>
                  <w:marRight w:val="0"/>
                  <w:marTop w:val="0"/>
                  <w:marBottom w:val="0"/>
                  <w:divBdr>
                    <w:top w:val="none" w:sz="0" w:space="0" w:color="auto"/>
                    <w:left w:val="none" w:sz="0" w:space="0" w:color="auto"/>
                    <w:bottom w:val="none" w:sz="0" w:space="0" w:color="auto"/>
                    <w:right w:val="none" w:sz="0" w:space="0" w:color="auto"/>
                  </w:divBdr>
                  <w:divsChild>
                    <w:div w:id="1503008340">
                      <w:marLeft w:val="0"/>
                      <w:marRight w:val="0"/>
                      <w:marTop w:val="0"/>
                      <w:marBottom w:val="0"/>
                      <w:divBdr>
                        <w:top w:val="none" w:sz="0" w:space="0" w:color="auto"/>
                        <w:left w:val="none" w:sz="0" w:space="0" w:color="auto"/>
                        <w:bottom w:val="none" w:sz="0" w:space="0" w:color="auto"/>
                        <w:right w:val="none" w:sz="0" w:space="0" w:color="auto"/>
                      </w:divBdr>
                      <w:divsChild>
                        <w:div w:id="1503008306">
                          <w:marLeft w:val="0"/>
                          <w:marRight w:val="0"/>
                          <w:marTop w:val="0"/>
                          <w:marBottom w:val="0"/>
                          <w:divBdr>
                            <w:top w:val="none" w:sz="0" w:space="0" w:color="auto"/>
                            <w:left w:val="none" w:sz="0" w:space="0" w:color="auto"/>
                            <w:bottom w:val="none" w:sz="0" w:space="0" w:color="auto"/>
                            <w:right w:val="none" w:sz="0" w:space="0" w:color="auto"/>
                          </w:divBdr>
                          <w:divsChild>
                            <w:div w:id="1503008323">
                              <w:marLeft w:val="0"/>
                              <w:marRight w:val="0"/>
                              <w:marTop w:val="0"/>
                              <w:marBottom w:val="0"/>
                              <w:divBdr>
                                <w:top w:val="none" w:sz="0" w:space="0" w:color="auto"/>
                                <w:left w:val="none" w:sz="0" w:space="0" w:color="auto"/>
                                <w:bottom w:val="none" w:sz="0" w:space="0" w:color="auto"/>
                                <w:right w:val="none" w:sz="0" w:space="0" w:color="auto"/>
                              </w:divBdr>
                              <w:divsChild>
                                <w:div w:id="1503008317">
                                  <w:marLeft w:val="0"/>
                                  <w:marRight w:val="0"/>
                                  <w:marTop w:val="0"/>
                                  <w:marBottom w:val="0"/>
                                  <w:divBdr>
                                    <w:top w:val="none" w:sz="0" w:space="0" w:color="auto"/>
                                    <w:left w:val="none" w:sz="0" w:space="0" w:color="auto"/>
                                    <w:bottom w:val="none" w:sz="0" w:space="0" w:color="auto"/>
                                    <w:right w:val="none" w:sz="0" w:space="0" w:color="auto"/>
                                  </w:divBdr>
                                  <w:divsChild>
                                    <w:div w:id="1503008326">
                                      <w:marLeft w:val="0"/>
                                      <w:marRight w:val="0"/>
                                      <w:marTop w:val="0"/>
                                      <w:marBottom w:val="0"/>
                                      <w:divBdr>
                                        <w:top w:val="none" w:sz="0" w:space="0" w:color="auto"/>
                                        <w:left w:val="none" w:sz="0" w:space="0" w:color="auto"/>
                                        <w:bottom w:val="none" w:sz="0" w:space="0" w:color="auto"/>
                                        <w:right w:val="none" w:sz="0" w:space="0" w:color="auto"/>
                                      </w:divBdr>
                                      <w:divsChild>
                                        <w:div w:id="1503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287">
      <w:marLeft w:val="0"/>
      <w:marRight w:val="0"/>
      <w:marTop w:val="0"/>
      <w:marBottom w:val="0"/>
      <w:divBdr>
        <w:top w:val="none" w:sz="0" w:space="0" w:color="auto"/>
        <w:left w:val="none" w:sz="0" w:space="0" w:color="auto"/>
        <w:bottom w:val="none" w:sz="0" w:space="0" w:color="auto"/>
        <w:right w:val="none" w:sz="0" w:space="0" w:color="auto"/>
      </w:divBdr>
      <w:divsChild>
        <w:div w:id="1503008327">
          <w:marLeft w:val="0"/>
          <w:marRight w:val="0"/>
          <w:marTop w:val="0"/>
          <w:marBottom w:val="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1503008320">
                  <w:marLeft w:val="0"/>
                  <w:marRight w:val="0"/>
                  <w:marTop w:val="0"/>
                  <w:marBottom w:val="0"/>
                  <w:divBdr>
                    <w:top w:val="none" w:sz="0" w:space="0" w:color="auto"/>
                    <w:left w:val="none" w:sz="0" w:space="0" w:color="auto"/>
                    <w:bottom w:val="none" w:sz="0" w:space="0" w:color="auto"/>
                    <w:right w:val="none" w:sz="0" w:space="0" w:color="auto"/>
                  </w:divBdr>
                  <w:divsChild>
                    <w:div w:id="1503008304">
                      <w:marLeft w:val="0"/>
                      <w:marRight w:val="0"/>
                      <w:marTop w:val="0"/>
                      <w:marBottom w:val="0"/>
                      <w:divBdr>
                        <w:top w:val="none" w:sz="0" w:space="0" w:color="auto"/>
                        <w:left w:val="none" w:sz="0" w:space="0" w:color="auto"/>
                        <w:bottom w:val="none" w:sz="0" w:space="0" w:color="auto"/>
                        <w:right w:val="none" w:sz="0" w:space="0" w:color="auto"/>
                      </w:divBdr>
                      <w:divsChild>
                        <w:div w:id="1503008342">
                          <w:marLeft w:val="0"/>
                          <w:marRight w:val="0"/>
                          <w:marTop w:val="0"/>
                          <w:marBottom w:val="0"/>
                          <w:divBdr>
                            <w:top w:val="none" w:sz="0" w:space="0" w:color="auto"/>
                            <w:left w:val="none" w:sz="0" w:space="0" w:color="auto"/>
                            <w:bottom w:val="none" w:sz="0" w:space="0" w:color="auto"/>
                            <w:right w:val="none" w:sz="0" w:space="0" w:color="auto"/>
                          </w:divBdr>
                          <w:divsChild>
                            <w:div w:id="1503008315">
                              <w:marLeft w:val="0"/>
                              <w:marRight w:val="0"/>
                              <w:marTop w:val="0"/>
                              <w:marBottom w:val="0"/>
                              <w:divBdr>
                                <w:top w:val="none" w:sz="0" w:space="0" w:color="auto"/>
                                <w:left w:val="none" w:sz="0" w:space="0" w:color="auto"/>
                                <w:bottom w:val="none" w:sz="0" w:space="0" w:color="auto"/>
                                <w:right w:val="none" w:sz="0" w:space="0" w:color="auto"/>
                              </w:divBdr>
                              <w:divsChild>
                                <w:div w:id="15030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303">
      <w:marLeft w:val="0"/>
      <w:marRight w:val="0"/>
      <w:marTop w:val="0"/>
      <w:marBottom w:val="0"/>
      <w:divBdr>
        <w:top w:val="none" w:sz="0" w:space="0" w:color="auto"/>
        <w:left w:val="none" w:sz="0" w:space="0" w:color="auto"/>
        <w:bottom w:val="none" w:sz="0" w:space="0" w:color="auto"/>
        <w:right w:val="none" w:sz="0" w:space="0" w:color="auto"/>
      </w:divBdr>
    </w:div>
    <w:div w:id="1503008307">
      <w:marLeft w:val="0"/>
      <w:marRight w:val="0"/>
      <w:marTop w:val="0"/>
      <w:marBottom w:val="0"/>
      <w:divBdr>
        <w:top w:val="none" w:sz="0" w:space="0" w:color="auto"/>
        <w:left w:val="none" w:sz="0" w:space="0" w:color="auto"/>
        <w:bottom w:val="none" w:sz="0" w:space="0" w:color="auto"/>
        <w:right w:val="none" w:sz="0" w:space="0" w:color="auto"/>
      </w:divBdr>
      <w:divsChild>
        <w:div w:id="1503008281">
          <w:marLeft w:val="0"/>
          <w:marRight w:val="0"/>
          <w:marTop w:val="0"/>
          <w:marBottom w:val="0"/>
          <w:divBdr>
            <w:top w:val="none" w:sz="0" w:space="0" w:color="auto"/>
            <w:left w:val="none" w:sz="0" w:space="0" w:color="auto"/>
            <w:bottom w:val="none" w:sz="0" w:space="0" w:color="auto"/>
            <w:right w:val="none" w:sz="0" w:space="0" w:color="auto"/>
          </w:divBdr>
          <w:divsChild>
            <w:div w:id="1503008318">
              <w:marLeft w:val="0"/>
              <w:marRight w:val="0"/>
              <w:marTop w:val="0"/>
              <w:marBottom w:val="0"/>
              <w:divBdr>
                <w:top w:val="none" w:sz="0" w:space="0" w:color="auto"/>
                <w:left w:val="none" w:sz="0" w:space="0" w:color="auto"/>
                <w:bottom w:val="none" w:sz="0" w:space="0" w:color="auto"/>
                <w:right w:val="none" w:sz="0" w:space="0" w:color="auto"/>
              </w:divBdr>
              <w:divsChild>
                <w:div w:id="1503008343">
                  <w:marLeft w:val="0"/>
                  <w:marRight w:val="0"/>
                  <w:marTop w:val="0"/>
                  <w:marBottom w:val="0"/>
                  <w:divBdr>
                    <w:top w:val="none" w:sz="0" w:space="0" w:color="auto"/>
                    <w:left w:val="none" w:sz="0" w:space="0" w:color="auto"/>
                    <w:bottom w:val="none" w:sz="0" w:space="0" w:color="auto"/>
                    <w:right w:val="none" w:sz="0" w:space="0" w:color="auto"/>
                  </w:divBdr>
                  <w:divsChild>
                    <w:div w:id="1503008313">
                      <w:marLeft w:val="0"/>
                      <w:marRight w:val="0"/>
                      <w:marTop w:val="0"/>
                      <w:marBottom w:val="0"/>
                      <w:divBdr>
                        <w:top w:val="none" w:sz="0" w:space="0" w:color="auto"/>
                        <w:left w:val="none" w:sz="0" w:space="0" w:color="auto"/>
                        <w:bottom w:val="none" w:sz="0" w:space="0" w:color="auto"/>
                        <w:right w:val="none" w:sz="0" w:space="0" w:color="auto"/>
                      </w:divBdr>
                      <w:divsChild>
                        <w:div w:id="1503008309">
                          <w:marLeft w:val="0"/>
                          <w:marRight w:val="0"/>
                          <w:marTop w:val="0"/>
                          <w:marBottom w:val="0"/>
                          <w:divBdr>
                            <w:top w:val="none" w:sz="0" w:space="0" w:color="auto"/>
                            <w:left w:val="none" w:sz="0" w:space="0" w:color="auto"/>
                            <w:bottom w:val="none" w:sz="0" w:space="0" w:color="auto"/>
                            <w:right w:val="none" w:sz="0" w:space="0" w:color="auto"/>
                          </w:divBdr>
                          <w:divsChild>
                            <w:div w:id="1503008310">
                              <w:marLeft w:val="0"/>
                              <w:marRight w:val="0"/>
                              <w:marTop w:val="0"/>
                              <w:marBottom w:val="0"/>
                              <w:divBdr>
                                <w:top w:val="none" w:sz="0" w:space="0" w:color="auto"/>
                                <w:left w:val="none" w:sz="0" w:space="0" w:color="auto"/>
                                <w:bottom w:val="none" w:sz="0" w:space="0" w:color="auto"/>
                                <w:right w:val="none" w:sz="0" w:space="0" w:color="auto"/>
                              </w:divBdr>
                              <w:divsChild>
                                <w:div w:id="15030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328">
      <w:marLeft w:val="0"/>
      <w:marRight w:val="0"/>
      <w:marTop w:val="0"/>
      <w:marBottom w:val="0"/>
      <w:divBdr>
        <w:top w:val="none" w:sz="0" w:space="0" w:color="auto"/>
        <w:left w:val="none" w:sz="0" w:space="0" w:color="auto"/>
        <w:bottom w:val="none" w:sz="0" w:space="0" w:color="auto"/>
        <w:right w:val="none" w:sz="0" w:space="0" w:color="auto"/>
      </w:divBdr>
      <w:divsChild>
        <w:div w:id="1503008334">
          <w:marLeft w:val="0"/>
          <w:marRight w:val="0"/>
          <w:marTop w:val="0"/>
          <w:marBottom w:val="0"/>
          <w:divBdr>
            <w:top w:val="none" w:sz="0" w:space="0" w:color="auto"/>
            <w:left w:val="none" w:sz="0" w:space="0" w:color="auto"/>
            <w:bottom w:val="none" w:sz="0" w:space="0" w:color="auto"/>
            <w:right w:val="none" w:sz="0" w:space="0" w:color="auto"/>
          </w:divBdr>
          <w:divsChild>
            <w:div w:id="1503008324">
              <w:marLeft w:val="0"/>
              <w:marRight w:val="0"/>
              <w:marTop w:val="0"/>
              <w:marBottom w:val="0"/>
              <w:divBdr>
                <w:top w:val="none" w:sz="0" w:space="0" w:color="auto"/>
                <w:left w:val="none" w:sz="0" w:space="0" w:color="auto"/>
                <w:bottom w:val="none" w:sz="0" w:space="0" w:color="auto"/>
                <w:right w:val="none" w:sz="0" w:space="0" w:color="auto"/>
              </w:divBdr>
              <w:divsChild>
                <w:div w:id="1503008286">
                  <w:marLeft w:val="0"/>
                  <w:marRight w:val="0"/>
                  <w:marTop w:val="0"/>
                  <w:marBottom w:val="0"/>
                  <w:divBdr>
                    <w:top w:val="none" w:sz="0" w:space="0" w:color="auto"/>
                    <w:left w:val="none" w:sz="0" w:space="0" w:color="auto"/>
                    <w:bottom w:val="none" w:sz="0" w:space="0" w:color="auto"/>
                    <w:right w:val="none" w:sz="0" w:space="0" w:color="auto"/>
                  </w:divBdr>
                  <w:divsChild>
                    <w:div w:id="1503008296">
                      <w:marLeft w:val="0"/>
                      <w:marRight w:val="0"/>
                      <w:marTop w:val="0"/>
                      <w:marBottom w:val="0"/>
                      <w:divBdr>
                        <w:top w:val="none" w:sz="0" w:space="0" w:color="auto"/>
                        <w:left w:val="none" w:sz="0" w:space="0" w:color="auto"/>
                        <w:bottom w:val="none" w:sz="0" w:space="0" w:color="auto"/>
                        <w:right w:val="none" w:sz="0" w:space="0" w:color="auto"/>
                      </w:divBdr>
                      <w:divsChild>
                        <w:div w:id="1503008312">
                          <w:marLeft w:val="0"/>
                          <w:marRight w:val="0"/>
                          <w:marTop w:val="0"/>
                          <w:marBottom w:val="0"/>
                          <w:divBdr>
                            <w:top w:val="none" w:sz="0" w:space="0" w:color="auto"/>
                            <w:left w:val="none" w:sz="0" w:space="0" w:color="auto"/>
                            <w:bottom w:val="none" w:sz="0" w:space="0" w:color="auto"/>
                            <w:right w:val="none" w:sz="0" w:space="0" w:color="auto"/>
                          </w:divBdr>
                          <w:divsChild>
                            <w:div w:id="1503008311">
                              <w:marLeft w:val="0"/>
                              <w:marRight w:val="0"/>
                              <w:marTop w:val="0"/>
                              <w:marBottom w:val="0"/>
                              <w:divBdr>
                                <w:top w:val="none" w:sz="0" w:space="0" w:color="auto"/>
                                <w:left w:val="none" w:sz="0" w:space="0" w:color="auto"/>
                                <w:bottom w:val="none" w:sz="0" w:space="0" w:color="auto"/>
                                <w:right w:val="none" w:sz="0" w:space="0" w:color="auto"/>
                              </w:divBdr>
                              <w:divsChild>
                                <w:div w:id="1503008341">
                                  <w:marLeft w:val="0"/>
                                  <w:marRight w:val="0"/>
                                  <w:marTop w:val="0"/>
                                  <w:marBottom w:val="0"/>
                                  <w:divBdr>
                                    <w:top w:val="none" w:sz="0" w:space="0" w:color="auto"/>
                                    <w:left w:val="none" w:sz="0" w:space="0" w:color="auto"/>
                                    <w:bottom w:val="none" w:sz="0" w:space="0" w:color="auto"/>
                                    <w:right w:val="none" w:sz="0" w:space="0" w:color="auto"/>
                                  </w:divBdr>
                                  <w:divsChild>
                                    <w:div w:id="1503008299">
                                      <w:marLeft w:val="0"/>
                                      <w:marRight w:val="0"/>
                                      <w:marTop w:val="0"/>
                                      <w:marBottom w:val="0"/>
                                      <w:divBdr>
                                        <w:top w:val="none" w:sz="0" w:space="0" w:color="auto"/>
                                        <w:left w:val="none" w:sz="0" w:space="0" w:color="auto"/>
                                        <w:bottom w:val="none" w:sz="0" w:space="0" w:color="auto"/>
                                        <w:right w:val="none" w:sz="0" w:space="0" w:color="auto"/>
                                      </w:divBdr>
                                      <w:divsChild>
                                        <w:div w:id="1503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333">
      <w:marLeft w:val="0"/>
      <w:marRight w:val="0"/>
      <w:marTop w:val="0"/>
      <w:marBottom w:val="0"/>
      <w:divBdr>
        <w:top w:val="none" w:sz="0" w:space="0" w:color="auto"/>
        <w:left w:val="none" w:sz="0" w:space="0" w:color="auto"/>
        <w:bottom w:val="none" w:sz="0" w:space="0" w:color="auto"/>
        <w:right w:val="none" w:sz="0" w:space="0" w:color="auto"/>
      </w:divBdr>
      <w:divsChild>
        <w:div w:id="1503008332">
          <w:marLeft w:val="0"/>
          <w:marRight w:val="0"/>
          <w:marTop w:val="0"/>
          <w:marBottom w:val="0"/>
          <w:divBdr>
            <w:top w:val="none" w:sz="0" w:space="0" w:color="auto"/>
            <w:left w:val="none" w:sz="0" w:space="0" w:color="auto"/>
            <w:bottom w:val="none" w:sz="0" w:space="0" w:color="auto"/>
            <w:right w:val="none" w:sz="0" w:space="0" w:color="auto"/>
          </w:divBdr>
          <w:divsChild>
            <w:div w:id="1503008305">
              <w:marLeft w:val="0"/>
              <w:marRight w:val="0"/>
              <w:marTop w:val="0"/>
              <w:marBottom w:val="0"/>
              <w:divBdr>
                <w:top w:val="none" w:sz="0" w:space="0" w:color="auto"/>
                <w:left w:val="none" w:sz="0" w:space="0" w:color="auto"/>
                <w:bottom w:val="none" w:sz="0" w:space="0" w:color="auto"/>
                <w:right w:val="none" w:sz="0" w:space="0" w:color="auto"/>
              </w:divBdr>
              <w:divsChild>
                <w:div w:id="1503008316">
                  <w:marLeft w:val="0"/>
                  <w:marRight w:val="0"/>
                  <w:marTop w:val="0"/>
                  <w:marBottom w:val="0"/>
                  <w:divBdr>
                    <w:top w:val="none" w:sz="0" w:space="0" w:color="auto"/>
                    <w:left w:val="none" w:sz="0" w:space="0" w:color="auto"/>
                    <w:bottom w:val="none" w:sz="0" w:space="0" w:color="auto"/>
                    <w:right w:val="none" w:sz="0" w:space="0" w:color="auto"/>
                  </w:divBdr>
                  <w:divsChild>
                    <w:div w:id="1503008322">
                      <w:marLeft w:val="0"/>
                      <w:marRight w:val="0"/>
                      <w:marTop w:val="0"/>
                      <w:marBottom w:val="0"/>
                      <w:divBdr>
                        <w:top w:val="none" w:sz="0" w:space="0" w:color="auto"/>
                        <w:left w:val="none" w:sz="0" w:space="0" w:color="auto"/>
                        <w:bottom w:val="none" w:sz="0" w:space="0" w:color="auto"/>
                        <w:right w:val="none" w:sz="0" w:space="0" w:color="auto"/>
                      </w:divBdr>
                      <w:divsChild>
                        <w:div w:id="1503008308">
                          <w:marLeft w:val="0"/>
                          <w:marRight w:val="0"/>
                          <w:marTop w:val="0"/>
                          <w:marBottom w:val="0"/>
                          <w:divBdr>
                            <w:top w:val="none" w:sz="0" w:space="0" w:color="auto"/>
                            <w:left w:val="none" w:sz="0" w:space="0" w:color="auto"/>
                            <w:bottom w:val="none" w:sz="0" w:space="0" w:color="auto"/>
                            <w:right w:val="none" w:sz="0" w:space="0" w:color="auto"/>
                          </w:divBdr>
                          <w:divsChild>
                            <w:div w:id="1503008325">
                              <w:marLeft w:val="0"/>
                              <w:marRight w:val="0"/>
                              <w:marTop w:val="0"/>
                              <w:marBottom w:val="0"/>
                              <w:divBdr>
                                <w:top w:val="none" w:sz="0" w:space="0" w:color="auto"/>
                                <w:left w:val="none" w:sz="0" w:space="0" w:color="auto"/>
                                <w:bottom w:val="none" w:sz="0" w:space="0" w:color="auto"/>
                                <w:right w:val="none" w:sz="0" w:space="0" w:color="auto"/>
                              </w:divBdr>
                              <w:divsChild>
                                <w:div w:id="1503008337">
                                  <w:marLeft w:val="0"/>
                                  <w:marRight w:val="0"/>
                                  <w:marTop w:val="0"/>
                                  <w:marBottom w:val="0"/>
                                  <w:divBdr>
                                    <w:top w:val="none" w:sz="0" w:space="0" w:color="auto"/>
                                    <w:left w:val="none" w:sz="0" w:space="0" w:color="auto"/>
                                    <w:bottom w:val="none" w:sz="0" w:space="0" w:color="auto"/>
                                    <w:right w:val="none" w:sz="0" w:space="0" w:color="auto"/>
                                  </w:divBdr>
                                  <w:divsChild>
                                    <w:div w:id="1503008335">
                                      <w:marLeft w:val="0"/>
                                      <w:marRight w:val="0"/>
                                      <w:marTop w:val="0"/>
                                      <w:marBottom w:val="0"/>
                                      <w:divBdr>
                                        <w:top w:val="none" w:sz="0" w:space="0" w:color="auto"/>
                                        <w:left w:val="none" w:sz="0" w:space="0" w:color="auto"/>
                                        <w:bottom w:val="none" w:sz="0" w:space="0" w:color="auto"/>
                                        <w:right w:val="none" w:sz="0" w:space="0" w:color="auto"/>
                                      </w:divBdr>
                                      <w:divsChild>
                                        <w:div w:id="1503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336">
      <w:marLeft w:val="0"/>
      <w:marRight w:val="0"/>
      <w:marTop w:val="0"/>
      <w:marBottom w:val="0"/>
      <w:divBdr>
        <w:top w:val="none" w:sz="0" w:space="0" w:color="auto"/>
        <w:left w:val="none" w:sz="0" w:space="0" w:color="auto"/>
        <w:bottom w:val="none" w:sz="0" w:space="0" w:color="auto"/>
        <w:right w:val="none" w:sz="0" w:space="0" w:color="auto"/>
      </w:divBdr>
      <w:divsChild>
        <w:div w:id="1503008338">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0"/>
              <w:divBdr>
                <w:top w:val="none" w:sz="0" w:space="0" w:color="auto"/>
                <w:left w:val="none" w:sz="0" w:space="0" w:color="auto"/>
                <w:bottom w:val="none" w:sz="0" w:space="0" w:color="auto"/>
                <w:right w:val="none" w:sz="0" w:space="0" w:color="auto"/>
              </w:divBdr>
              <w:divsChild>
                <w:div w:id="1503008329">
                  <w:marLeft w:val="0"/>
                  <w:marRight w:val="0"/>
                  <w:marTop w:val="0"/>
                  <w:marBottom w:val="0"/>
                  <w:divBdr>
                    <w:top w:val="none" w:sz="0" w:space="0" w:color="auto"/>
                    <w:left w:val="none" w:sz="0" w:space="0" w:color="auto"/>
                    <w:bottom w:val="none" w:sz="0" w:space="0" w:color="auto"/>
                    <w:right w:val="none" w:sz="0" w:space="0" w:color="auto"/>
                  </w:divBdr>
                  <w:divsChild>
                    <w:div w:id="1503008280">
                      <w:marLeft w:val="0"/>
                      <w:marRight w:val="0"/>
                      <w:marTop w:val="0"/>
                      <w:marBottom w:val="0"/>
                      <w:divBdr>
                        <w:top w:val="none" w:sz="0" w:space="0" w:color="auto"/>
                        <w:left w:val="none" w:sz="0" w:space="0" w:color="auto"/>
                        <w:bottom w:val="none" w:sz="0" w:space="0" w:color="auto"/>
                        <w:right w:val="none" w:sz="0" w:space="0" w:color="auto"/>
                      </w:divBdr>
                      <w:divsChild>
                        <w:div w:id="1503008321">
                          <w:marLeft w:val="0"/>
                          <w:marRight w:val="0"/>
                          <w:marTop w:val="0"/>
                          <w:marBottom w:val="0"/>
                          <w:divBdr>
                            <w:top w:val="none" w:sz="0" w:space="0" w:color="auto"/>
                            <w:left w:val="none" w:sz="0" w:space="0" w:color="auto"/>
                            <w:bottom w:val="none" w:sz="0" w:space="0" w:color="auto"/>
                            <w:right w:val="none" w:sz="0" w:space="0" w:color="auto"/>
                          </w:divBdr>
                          <w:divsChild>
                            <w:div w:id="1503008292">
                              <w:marLeft w:val="0"/>
                              <w:marRight w:val="0"/>
                              <w:marTop w:val="0"/>
                              <w:marBottom w:val="0"/>
                              <w:divBdr>
                                <w:top w:val="none" w:sz="0" w:space="0" w:color="auto"/>
                                <w:left w:val="none" w:sz="0" w:space="0" w:color="auto"/>
                                <w:bottom w:val="none" w:sz="0" w:space="0" w:color="auto"/>
                                <w:right w:val="none" w:sz="0" w:space="0" w:color="auto"/>
                              </w:divBdr>
                              <w:divsChild>
                                <w:div w:id="1503008293">
                                  <w:marLeft w:val="0"/>
                                  <w:marRight w:val="0"/>
                                  <w:marTop w:val="0"/>
                                  <w:marBottom w:val="0"/>
                                  <w:divBdr>
                                    <w:top w:val="none" w:sz="0" w:space="0" w:color="auto"/>
                                    <w:left w:val="none" w:sz="0" w:space="0" w:color="auto"/>
                                    <w:bottom w:val="none" w:sz="0" w:space="0" w:color="auto"/>
                                    <w:right w:val="none" w:sz="0" w:space="0" w:color="auto"/>
                                  </w:divBdr>
                                  <w:divsChild>
                                    <w:div w:id="1503008294">
                                      <w:marLeft w:val="0"/>
                                      <w:marRight w:val="0"/>
                                      <w:marTop w:val="0"/>
                                      <w:marBottom w:val="0"/>
                                      <w:divBdr>
                                        <w:top w:val="none" w:sz="0" w:space="0" w:color="auto"/>
                                        <w:left w:val="none" w:sz="0" w:space="0" w:color="auto"/>
                                        <w:bottom w:val="none" w:sz="0" w:space="0" w:color="auto"/>
                                        <w:right w:val="none" w:sz="0" w:space="0" w:color="auto"/>
                                      </w:divBdr>
                                      <w:divsChild>
                                        <w:div w:id="15030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261859">
      <w:bodyDiv w:val="1"/>
      <w:marLeft w:val="0"/>
      <w:marRight w:val="0"/>
      <w:marTop w:val="0"/>
      <w:marBottom w:val="0"/>
      <w:divBdr>
        <w:top w:val="none" w:sz="0" w:space="0" w:color="auto"/>
        <w:left w:val="none" w:sz="0" w:space="0" w:color="auto"/>
        <w:bottom w:val="none" w:sz="0" w:space="0" w:color="auto"/>
        <w:right w:val="none" w:sz="0" w:space="0" w:color="auto"/>
      </w:divBdr>
    </w:div>
    <w:div w:id="1589846017">
      <w:bodyDiv w:val="1"/>
      <w:marLeft w:val="0"/>
      <w:marRight w:val="0"/>
      <w:marTop w:val="0"/>
      <w:marBottom w:val="0"/>
      <w:divBdr>
        <w:top w:val="none" w:sz="0" w:space="0" w:color="auto"/>
        <w:left w:val="none" w:sz="0" w:space="0" w:color="auto"/>
        <w:bottom w:val="none" w:sz="0" w:space="0" w:color="auto"/>
        <w:right w:val="none" w:sz="0" w:space="0" w:color="auto"/>
      </w:divBdr>
    </w:div>
    <w:div w:id="1594972029">
      <w:bodyDiv w:val="1"/>
      <w:marLeft w:val="0"/>
      <w:marRight w:val="0"/>
      <w:marTop w:val="0"/>
      <w:marBottom w:val="0"/>
      <w:divBdr>
        <w:top w:val="none" w:sz="0" w:space="0" w:color="auto"/>
        <w:left w:val="none" w:sz="0" w:space="0" w:color="auto"/>
        <w:bottom w:val="none" w:sz="0" w:space="0" w:color="auto"/>
        <w:right w:val="none" w:sz="0" w:space="0" w:color="auto"/>
      </w:divBdr>
    </w:div>
    <w:div w:id="1620067369">
      <w:bodyDiv w:val="1"/>
      <w:marLeft w:val="0"/>
      <w:marRight w:val="0"/>
      <w:marTop w:val="0"/>
      <w:marBottom w:val="0"/>
      <w:divBdr>
        <w:top w:val="none" w:sz="0" w:space="0" w:color="auto"/>
        <w:left w:val="none" w:sz="0" w:space="0" w:color="auto"/>
        <w:bottom w:val="none" w:sz="0" w:space="0" w:color="auto"/>
        <w:right w:val="none" w:sz="0" w:space="0" w:color="auto"/>
      </w:divBdr>
    </w:div>
    <w:div w:id="1696535541">
      <w:bodyDiv w:val="1"/>
      <w:marLeft w:val="0"/>
      <w:marRight w:val="0"/>
      <w:marTop w:val="0"/>
      <w:marBottom w:val="0"/>
      <w:divBdr>
        <w:top w:val="none" w:sz="0" w:space="0" w:color="auto"/>
        <w:left w:val="none" w:sz="0" w:space="0" w:color="auto"/>
        <w:bottom w:val="none" w:sz="0" w:space="0" w:color="auto"/>
        <w:right w:val="none" w:sz="0" w:space="0" w:color="auto"/>
      </w:divBdr>
    </w:div>
    <w:div w:id="1762095233">
      <w:bodyDiv w:val="1"/>
      <w:marLeft w:val="0"/>
      <w:marRight w:val="0"/>
      <w:marTop w:val="0"/>
      <w:marBottom w:val="0"/>
      <w:divBdr>
        <w:top w:val="none" w:sz="0" w:space="0" w:color="auto"/>
        <w:left w:val="none" w:sz="0" w:space="0" w:color="auto"/>
        <w:bottom w:val="none" w:sz="0" w:space="0" w:color="auto"/>
        <w:right w:val="none" w:sz="0" w:space="0" w:color="auto"/>
      </w:divBdr>
    </w:div>
    <w:div w:id="1805200387">
      <w:bodyDiv w:val="1"/>
      <w:marLeft w:val="0"/>
      <w:marRight w:val="0"/>
      <w:marTop w:val="0"/>
      <w:marBottom w:val="0"/>
      <w:divBdr>
        <w:top w:val="none" w:sz="0" w:space="0" w:color="auto"/>
        <w:left w:val="none" w:sz="0" w:space="0" w:color="auto"/>
        <w:bottom w:val="none" w:sz="0" w:space="0" w:color="auto"/>
        <w:right w:val="none" w:sz="0" w:space="0" w:color="auto"/>
      </w:divBdr>
    </w:div>
    <w:div w:id="1840655157">
      <w:bodyDiv w:val="1"/>
      <w:marLeft w:val="0"/>
      <w:marRight w:val="0"/>
      <w:marTop w:val="0"/>
      <w:marBottom w:val="0"/>
      <w:divBdr>
        <w:top w:val="none" w:sz="0" w:space="0" w:color="auto"/>
        <w:left w:val="none" w:sz="0" w:space="0" w:color="auto"/>
        <w:bottom w:val="none" w:sz="0" w:space="0" w:color="auto"/>
        <w:right w:val="none" w:sz="0" w:space="0" w:color="auto"/>
      </w:divBdr>
    </w:div>
    <w:div w:id="1913540563">
      <w:bodyDiv w:val="1"/>
      <w:marLeft w:val="0"/>
      <w:marRight w:val="0"/>
      <w:marTop w:val="0"/>
      <w:marBottom w:val="0"/>
      <w:divBdr>
        <w:top w:val="none" w:sz="0" w:space="0" w:color="auto"/>
        <w:left w:val="none" w:sz="0" w:space="0" w:color="auto"/>
        <w:bottom w:val="none" w:sz="0" w:space="0" w:color="auto"/>
        <w:right w:val="none" w:sz="0" w:space="0" w:color="auto"/>
      </w:divBdr>
    </w:div>
    <w:div w:id="19588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10D2C07C8F54B9E3E64A437E77C62" ma:contentTypeVersion="4" ma:contentTypeDescription="Create a new document." ma:contentTypeScope="" ma:versionID="b62213b3c178395f96320e4956c35751">
  <xsd:schema xmlns:xsd="http://www.w3.org/2001/XMLSchema" xmlns:xs="http://www.w3.org/2001/XMLSchema" xmlns:p="http://schemas.microsoft.com/office/2006/metadata/properties" xmlns:ns2="07c06547-d17c-4afd-995b-e05974a9fd61" targetNamespace="http://schemas.microsoft.com/office/2006/metadata/properties" ma:root="true" ma:fieldsID="b6284a045de7d8eb6089a5cd2139cff6" ns2:_="">
    <xsd:import namespace="07c06547-d17c-4afd-995b-e05974a9fd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06547-d17c-4afd-995b-e05974a9f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4666-1912-4D6D-B40D-127EC214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06547-d17c-4afd-995b-e05974a9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1C67C-5443-4A7C-9B33-78980FCE470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07c06547-d17c-4afd-995b-e05974a9fd61"/>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493A939-5412-4112-BD46-EEE49EE8AA2C}">
  <ds:schemaRefs>
    <ds:schemaRef ds:uri="http://schemas.microsoft.com/sharepoint/v3/contenttype/forms"/>
  </ds:schemaRefs>
</ds:datastoreItem>
</file>

<file path=customXml/itemProps4.xml><?xml version="1.0" encoding="utf-8"?>
<ds:datastoreItem xmlns:ds="http://schemas.openxmlformats.org/officeDocument/2006/customXml" ds:itemID="{039E0DA2-C953-4AB5-842C-A9B1AAC2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1689</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Lynda Clifford</cp:lastModifiedBy>
  <cp:revision>2</cp:revision>
  <cp:lastPrinted>2019-08-28T10:31:00Z</cp:lastPrinted>
  <dcterms:created xsi:type="dcterms:W3CDTF">2019-10-03T10:46:00Z</dcterms:created>
  <dcterms:modified xsi:type="dcterms:W3CDTF">2019-10-03T10:46:00Z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0x010100F6E10D2C07C8F54B9E3E64A437E77C62</vt:lpwstr>
  </property>
</Properties>
</file>