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p w14:paraId="7E7860DA" w14:textId="74A381CE" w:rsidR="009206C5" w:rsidRDefault="001E1619" w:rsidP="001E1619">
      <w:pPr>
        <w:jc w:val="center"/>
        <w:rPr>
          <w:b/>
          <w:bCs/>
        </w:rPr>
      </w:pPr>
      <w:r>
        <w:rPr>
          <w:b/>
          <w:bCs/>
        </w:rPr>
        <w:t>Woodhouse Community Primary School</w:t>
      </w:r>
    </w:p>
    <w:p w14:paraId="3FB7C2A2" w14:textId="77777777" w:rsidR="001E1619" w:rsidRDefault="001E1619" w:rsidP="001E1619">
      <w:pPr>
        <w:jc w:val="cente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 xml:space="preserve">The </w:t>
      </w:r>
      <w:proofErr w:type="gramStart"/>
      <w:r>
        <w:rPr>
          <w:u w:val="single"/>
        </w:rPr>
        <w:t>Self Improving</w:t>
      </w:r>
      <w:proofErr w:type="gramEnd"/>
      <w:r>
        <w:rPr>
          <w:u w:val="single"/>
        </w:rPr>
        <w:t xml:space="preserve">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 xml:space="preserve">Provide the Governing Body with </w:t>
      </w:r>
      <w:proofErr w:type="gramStart"/>
      <w:r>
        <w:t>sufficient</w:t>
      </w:r>
      <w:proofErr w:type="gramEnd"/>
      <w:r>
        <w:t xml:space="preserve">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w:t>
      </w:r>
      <w:proofErr w:type="gramStart"/>
      <w:r w:rsidRPr="006870D0">
        <w:t>in particular its</w:t>
      </w:r>
      <w:proofErr w:type="gramEnd"/>
      <w:r w:rsidRPr="006870D0">
        <w:t xml:space="preserve">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w:t>
      </w:r>
      <w:proofErr w:type="gramStart"/>
      <w:r w:rsidRPr="009206C5">
        <w:t>during the course of</w:t>
      </w:r>
      <w:proofErr w:type="gramEnd"/>
      <w:r w:rsidRPr="009206C5">
        <w:t xml:space="preserve">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 xml:space="preserve">rted </w:t>
      </w:r>
      <w:proofErr w:type="gramStart"/>
      <w:r w:rsidRPr="009206C5">
        <w:t>in the course of</w:t>
      </w:r>
      <w:proofErr w:type="gramEnd"/>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67B57986" w14:textId="77777777" w:rsidR="009206C5" w:rsidRDefault="009206C5" w:rsidP="00E74BA4"/>
    <w:p w14:paraId="3A524AF1" w14:textId="0453BE16" w:rsidR="00C902F4" w:rsidRDefault="00C902F4">
      <w:r>
        <w:br w:type="page"/>
      </w:r>
    </w:p>
    <w:p w14:paraId="5B711C2B" w14:textId="2A9E1E3A" w:rsidR="00C902F4" w:rsidRPr="00C902F4" w:rsidRDefault="00C902F4" w:rsidP="00C902F4">
      <w:pPr>
        <w:pStyle w:val="Heading2"/>
      </w:pPr>
      <w:bookmarkStart w:id="2" w:name="_Toc306181694"/>
      <w:bookmarkStart w:id="3" w:name="_Toc378162555"/>
      <w:r w:rsidRPr="00C902F4">
        <w:lastRenderedPageBreak/>
        <w:t xml:space="preserve">Person specification </w:t>
      </w:r>
      <w:bookmarkEnd w:id="2"/>
      <w:bookmarkEnd w:id="3"/>
    </w:p>
    <w:tbl>
      <w:tblPr>
        <w:tblW w:w="11268" w:type="dxa"/>
        <w:tblInd w:w="-459" w:type="dxa"/>
        <w:tblLook w:val="01E0" w:firstRow="1" w:lastRow="1" w:firstColumn="1" w:lastColumn="1" w:noHBand="0" w:noVBand="0"/>
      </w:tblPr>
      <w:tblGrid>
        <w:gridCol w:w="459"/>
        <w:gridCol w:w="1650"/>
        <w:gridCol w:w="258"/>
        <w:gridCol w:w="3445"/>
        <w:gridCol w:w="2693"/>
        <w:gridCol w:w="2509"/>
        <w:gridCol w:w="254"/>
      </w:tblGrid>
      <w:tr w:rsidR="00C902F4" w:rsidRPr="00DA22C5" w14:paraId="6D2B6162" w14:textId="77777777" w:rsidTr="00B651EF">
        <w:trPr>
          <w:gridBefore w:val="1"/>
          <w:gridAfter w:val="1"/>
          <w:wBefore w:w="459"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77777777" w:rsidR="00C902F4" w:rsidRPr="00D6475F" w:rsidRDefault="00C902F4" w:rsidP="00C902F4">
            <w:pPr>
              <w:rPr>
                <w:b/>
                <w:szCs w:val="24"/>
              </w:rPr>
            </w:pPr>
          </w:p>
        </w:tc>
      </w:tr>
      <w:tr w:rsidR="00C902F4" w:rsidRPr="00C902F4" w14:paraId="7AE1A5B1"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2109"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703"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693"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703" w:type="dxa"/>
            <w:gridSpan w:val="2"/>
            <w:tcBorders>
              <w:left w:val="single" w:sz="4" w:space="0" w:color="auto"/>
            </w:tcBorders>
          </w:tcPr>
          <w:p w14:paraId="25515D27" w14:textId="4BA732A5" w:rsidR="00140EB6" w:rsidRPr="00BE1644" w:rsidRDefault="003C373B" w:rsidP="003D559C">
            <w:pPr>
              <w:pStyle w:val="ListParagraph"/>
              <w:numPr>
                <w:ilvl w:val="0"/>
                <w:numId w:val="13"/>
              </w:numPr>
              <w:ind w:left="335" w:hanging="284"/>
              <w:rPr>
                <w:sz w:val="22"/>
              </w:rPr>
            </w:pPr>
            <w:r>
              <w:rPr>
                <w:bCs/>
                <w:sz w:val="22"/>
              </w:rPr>
              <w:t>In addition to completing the application form, please provide a w</w:t>
            </w:r>
            <w:r w:rsidR="00140EB6">
              <w:rPr>
                <w:bCs/>
                <w:sz w:val="22"/>
              </w:rPr>
              <w:t>ell-structured supporting letter indicating evidence of impact in attainment and progress that has resulted in sustained improvement in pupil achievement (No more than 1000 words)</w:t>
            </w:r>
          </w:p>
        </w:tc>
        <w:tc>
          <w:tcPr>
            <w:tcW w:w="2693"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267846">
            <w:pPr>
              <w:rPr>
                <w:sz w:val="22"/>
              </w:rPr>
            </w:pPr>
          </w:p>
        </w:tc>
      </w:tr>
      <w:tr w:rsidR="00C902F4" w:rsidRPr="00C902F4" w14:paraId="281786D2"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2109"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703"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6558A466" w:rsidR="0003739E" w:rsidRPr="003C373B" w:rsidRDefault="0003739E" w:rsidP="003C373B">
            <w:pPr>
              <w:ind w:left="360"/>
              <w:rPr>
                <w:sz w:val="22"/>
              </w:rPr>
            </w:pPr>
          </w:p>
        </w:tc>
        <w:tc>
          <w:tcPr>
            <w:tcW w:w="2693" w:type="dxa"/>
          </w:tcPr>
          <w:p w14:paraId="1D3550DE" w14:textId="5D8DAAA8"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51E0A991" w:rsidR="00C902F4" w:rsidRPr="003C373B" w:rsidRDefault="003C373B" w:rsidP="003C373B">
            <w:pPr>
              <w:pStyle w:val="ListParagraph"/>
              <w:numPr>
                <w:ilvl w:val="0"/>
                <w:numId w:val="13"/>
              </w:numPr>
              <w:ind w:left="353" w:hanging="283"/>
              <w:rPr>
                <w:sz w:val="22"/>
              </w:rPr>
            </w:pPr>
            <w:r w:rsidRPr="003C373B">
              <w:rPr>
                <w:sz w:val="22"/>
              </w:rPr>
              <w:t xml:space="preserve">National Professional Qualification for Headship           </w:t>
            </w: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703" w:type="dxa"/>
            <w:gridSpan w:val="2"/>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693"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560AE48A"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3C373B">
              <w:rPr>
                <w:sz w:val="22"/>
              </w:rPr>
              <w:t xml:space="preserve">Primary </w:t>
            </w:r>
            <w:bookmarkStart w:id="4" w:name="_GoBack"/>
            <w:bookmarkEnd w:id="4"/>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2109"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703" w:type="dxa"/>
            <w:gridSpan w:val="2"/>
            <w:tcBorders>
              <w:left w:val="single" w:sz="4" w:space="0" w:color="auto"/>
            </w:tcBorders>
          </w:tcPr>
          <w:p w14:paraId="1A477A3C" w14:textId="77777777"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693" w:type="dxa"/>
          </w:tcPr>
          <w:p w14:paraId="15BDF644" w14:textId="1E2BCE0E" w:rsidR="003D5DFF" w:rsidRDefault="003D5DFF" w:rsidP="003D559C">
            <w:pPr>
              <w:pStyle w:val="ListParagraph"/>
              <w:numPr>
                <w:ilvl w:val="0"/>
                <w:numId w:val="5"/>
              </w:numPr>
              <w:rPr>
                <w:sz w:val="22"/>
              </w:rPr>
            </w:pPr>
            <w:r>
              <w:rPr>
                <w:sz w:val="22"/>
              </w:rPr>
              <w:t>Experience of planning and managing professional development</w:t>
            </w: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2109" w:type="dxa"/>
            <w:gridSpan w:val="2"/>
            <w:tcBorders>
              <w:top w:val="nil"/>
              <w:left w:val="nil"/>
              <w:bottom w:val="nil"/>
              <w:right w:val="single" w:sz="4" w:space="0" w:color="auto"/>
            </w:tcBorders>
          </w:tcPr>
          <w:p w14:paraId="31100911" w14:textId="490D64BE" w:rsidR="00C902F4" w:rsidRPr="00DA22C5" w:rsidRDefault="00C902F4" w:rsidP="00C902F4">
            <w:pPr>
              <w:rPr>
                <w:sz w:val="22"/>
              </w:rPr>
            </w:pPr>
            <w:r w:rsidRPr="00DA22C5">
              <w:rPr>
                <w:sz w:val="22"/>
              </w:rPr>
              <w:t>Skills/knowledge</w:t>
            </w:r>
          </w:p>
        </w:tc>
        <w:tc>
          <w:tcPr>
            <w:tcW w:w="3703"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77777777" w:rsidR="00F1399F" w:rsidRDefault="00F1399F" w:rsidP="003D559C">
            <w:pPr>
              <w:pStyle w:val="ListParagraph"/>
              <w:numPr>
                <w:ilvl w:val="0"/>
                <w:numId w:val="5"/>
              </w:numPr>
              <w:ind w:left="335" w:hanging="284"/>
              <w:rPr>
                <w:sz w:val="22"/>
              </w:rPr>
            </w:pPr>
            <w:r>
              <w:rPr>
                <w:sz w:val="22"/>
              </w:rPr>
              <w:lastRenderedPageBreak/>
              <w:t>Ability to lead by example drawing on their own and others expertise, skills and knowledge</w:t>
            </w:r>
          </w:p>
          <w:p w14:paraId="2621B0DA" w14:textId="61055615" w:rsidR="00F1399F" w:rsidRDefault="00F1399F" w:rsidP="003D559C">
            <w:pPr>
              <w:pStyle w:val="ListParagraph"/>
              <w:numPr>
                <w:ilvl w:val="0"/>
                <w:numId w:val="5"/>
              </w:numPr>
              <w:ind w:left="335" w:hanging="284"/>
              <w:rPr>
                <w:sz w:val="22"/>
              </w:rPr>
            </w:pPr>
            <w:r>
              <w:rPr>
                <w:sz w:val="22"/>
              </w:rPr>
              <w:t xml:space="preserve">Ability </w:t>
            </w:r>
            <w:proofErr w:type="gramStart"/>
            <w:r>
              <w:rPr>
                <w:sz w:val="22"/>
              </w:rPr>
              <w:t>to  lead</w:t>
            </w:r>
            <w:proofErr w:type="gramEnd"/>
            <w:r>
              <w:rPr>
                <w:sz w:val="22"/>
              </w:rPr>
              <w:t>,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 xml:space="preserve">Ability to analyse and evaluate school self-evaluation processes including the use of external and internal data </w:t>
            </w:r>
            <w:proofErr w:type="gramStart"/>
            <w:r>
              <w:rPr>
                <w:sz w:val="22"/>
              </w:rPr>
              <w:t>in order to</w:t>
            </w:r>
            <w:proofErr w:type="gramEnd"/>
            <w:r>
              <w:rPr>
                <w:sz w:val="22"/>
              </w:rPr>
              <w:t xml:space="preserve">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693"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 xml:space="preserve">andards of excellence for </w:t>
            </w:r>
            <w:r w:rsidR="000D4F6C">
              <w:rPr>
                <w:sz w:val="22"/>
              </w:rPr>
              <w:lastRenderedPageBreak/>
              <w:t>Headt</w:t>
            </w:r>
            <w:r>
              <w:rPr>
                <w:sz w:val="22"/>
              </w:rPr>
              <w:t>eachers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lastRenderedPageBreak/>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1201C65F" w14:textId="77777777" w:rsidR="00C902F4" w:rsidRDefault="00C902F4" w:rsidP="003D559C">
            <w:pPr>
              <w:numPr>
                <w:ilvl w:val="0"/>
                <w:numId w:val="5"/>
              </w:numPr>
              <w:rPr>
                <w:sz w:val="22"/>
              </w:rPr>
            </w:pPr>
            <w:r w:rsidRPr="00DA22C5">
              <w:rPr>
                <w:sz w:val="22"/>
              </w:rPr>
              <w:t>References</w:t>
            </w:r>
          </w:p>
          <w:p w14:paraId="5E16BE1E" w14:textId="6923F058" w:rsidR="00EA4EFA" w:rsidRPr="00DA22C5" w:rsidRDefault="00EA4EFA" w:rsidP="003D559C">
            <w:pPr>
              <w:numPr>
                <w:ilvl w:val="0"/>
                <w:numId w:val="5"/>
              </w:numPr>
              <w:rPr>
                <w:sz w:val="22"/>
              </w:rPr>
            </w:pPr>
            <w:r>
              <w:rPr>
                <w:sz w:val="22"/>
              </w:rPr>
              <w:t>Professional Profiling Exercise</w:t>
            </w:r>
          </w:p>
        </w:tc>
      </w:tr>
      <w:tr w:rsidR="00C902F4" w:rsidRPr="00C902F4" w14:paraId="0F94C2A9" w14:textId="77777777" w:rsidTr="00B65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2109"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703"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 xml:space="preserve">A clear vision and understanding of the needs of all pupils </w:t>
            </w:r>
            <w:proofErr w:type="gramStart"/>
            <w:r>
              <w:rPr>
                <w:sz w:val="22"/>
              </w:rPr>
              <w:t>in order to</w:t>
            </w:r>
            <w:proofErr w:type="gramEnd"/>
            <w:r>
              <w:rPr>
                <w:sz w:val="22"/>
              </w:rPr>
              <w:t xml:space="preserve">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 xml:space="preserve">Commitment to working with other schools and organisations </w:t>
            </w:r>
            <w:proofErr w:type="gramStart"/>
            <w:r>
              <w:rPr>
                <w:sz w:val="22"/>
              </w:rPr>
              <w:t>in order to</w:t>
            </w:r>
            <w:proofErr w:type="gramEnd"/>
            <w:r>
              <w:rPr>
                <w:sz w:val="22"/>
              </w:rPr>
              <w:t xml:space="preserve"> secure excellent achievements for all pupils</w:t>
            </w:r>
          </w:p>
        </w:tc>
        <w:tc>
          <w:tcPr>
            <w:tcW w:w="2693"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2C844E6" w14:textId="7807F8BA" w:rsidR="00EA4EFA" w:rsidRPr="00DA22C5" w:rsidRDefault="00EA4EFA" w:rsidP="003D559C">
            <w:pPr>
              <w:numPr>
                <w:ilvl w:val="0"/>
                <w:numId w:val="5"/>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7CE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1619"/>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C373B"/>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3.xml><?xml version="1.0" encoding="utf-8"?>
<ds:datastoreItem xmlns:ds="http://schemas.openxmlformats.org/officeDocument/2006/customXml" ds:itemID="{57200995-C21B-4B9B-BD8A-8505B6B58A2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4DCFFF9-4A8F-4D10-95BD-3245383C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12245</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Sharon Dunning</cp:lastModifiedBy>
  <cp:revision>3</cp:revision>
  <cp:lastPrinted>2019-05-22T09:58:00Z</cp:lastPrinted>
  <dcterms:created xsi:type="dcterms:W3CDTF">2019-05-02T14:31:00Z</dcterms:created>
  <dcterms:modified xsi:type="dcterms:W3CDTF">2019-05-22T09:59:00Z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